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17FD05" wp14:editId="0752892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090DBE">
      <w:r>
        <w:lastRenderedPageBreak/>
        <w:br w:type="page"/>
      </w:r>
      <w:r w:rsidR="00CC56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654D75" wp14:editId="3D592745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542780" cy="6672580"/>
            <wp:effectExtent l="0" t="0" r="1270" b="1397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E37189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DA30765" wp14:editId="025F982B">
            <wp:simplePos x="0" y="0"/>
            <wp:positionH relativeFrom="margin">
              <wp:posOffset>326390</wp:posOffset>
            </wp:positionH>
            <wp:positionV relativeFrom="paragraph">
              <wp:posOffset>335280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5C" w:rsidRDefault="009D475C" w:rsidP="004873FA">
      <w:pPr>
        <w:spacing w:after="0" w:line="240" w:lineRule="auto"/>
      </w:pPr>
      <w:r>
        <w:separator/>
      </w:r>
    </w:p>
  </w:endnote>
  <w:endnote w:type="continuationSeparator" w:id="0">
    <w:p w:rsidR="009D475C" w:rsidRDefault="009D475C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5C" w:rsidRDefault="009D475C" w:rsidP="004873FA">
      <w:pPr>
        <w:spacing w:after="0" w:line="240" w:lineRule="auto"/>
      </w:pPr>
      <w:r>
        <w:separator/>
      </w:r>
    </w:p>
  </w:footnote>
  <w:footnote w:type="continuationSeparator" w:id="0">
    <w:p w:rsidR="009D475C" w:rsidRDefault="009D475C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FE31C7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22217"/>
    <w:rsid w:val="0004213F"/>
    <w:rsid w:val="00047161"/>
    <w:rsid w:val="00047E11"/>
    <w:rsid w:val="0005321A"/>
    <w:rsid w:val="00053A2A"/>
    <w:rsid w:val="00056DDC"/>
    <w:rsid w:val="00061ED3"/>
    <w:rsid w:val="000733BC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2D08"/>
    <w:rsid w:val="0012497F"/>
    <w:rsid w:val="00133E38"/>
    <w:rsid w:val="00141183"/>
    <w:rsid w:val="00145B13"/>
    <w:rsid w:val="00194AFE"/>
    <w:rsid w:val="001A607B"/>
    <w:rsid w:val="001A60A0"/>
    <w:rsid w:val="001B1DAC"/>
    <w:rsid w:val="001C63FC"/>
    <w:rsid w:val="001E5074"/>
    <w:rsid w:val="001F5471"/>
    <w:rsid w:val="00221ABA"/>
    <w:rsid w:val="00232F68"/>
    <w:rsid w:val="00260EBA"/>
    <w:rsid w:val="00284184"/>
    <w:rsid w:val="00290B7F"/>
    <w:rsid w:val="002A28CF"/>
    <w:rsid w:val="002B3D93"/>
    <w:rsid w:val="002B77F6"/>
    <w:rsid w:val="002C7DC7"/>
    <w:rsid w:val="002E0D7B"/>
    <w:rsid w:val="00301536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DAE"/>
    <w:rsid w:val="003B1E7A"/>
    <w:rsid w:val="003D2FD3"/>
    <w:rsid w:val="003E5424"/>
    <w:rsid w:val="003F386E"/>
    <w:rsid w:val="003F548B"/>
    <w:rsid w:val="00416A45"/>
    <w:rsid w:val="004208FD"/>
    <w:rsid w:val="004254FD"/>
    <w:rsid w:val="00427FD4"/>
    <w:rsid w:val="0045497F"/>
    <w:rsid w:val="004615A1"/>
    <w:rsid w:val="004873FA"/>
    <w:rsid w:val="004962F7"/>
    <w:rsid w:val="004C0328"/>
    <w:rsid w:val="004E5F11"/>
    <w:rsid w:val="004E6104"/>
    <w:rsid w:val="004F408C"/>
    <w:rsid w:val="00501C7D"/>
    <w:rsid w:val="0051141F"/>
    <w:rsid w:val="00522962"/>
    <w:rsid w:val="0053732F"/>
    <w:rsid w:val="005430F8"/>
    <w:rsid w:val="00544E8E"/>
    <w:rsid w:val="0055547B"/>
    <w:rsid w:val="00571D29"/>
    <w:rsid w:val="00572C5D"/>
    <w:rsid w:val="00575D9E"/>
    <w:rsid w:val="00576BA3"/>
    <w:rsid w:val="0058040E"/>
    <w:rsid w:val="005843AD"/>
    <w:rsid w:val="005C1DAA"/>
    <w:rsid w:val="005E57C7"/>
    <w:rsid w:val="00625B76"/>
    <w:rsid w:val="00626537"/>
    <w:rsid w:val="0063429F"/>
    <w:rsid w:val="006456D9"/>
    <w:rsid w:val="00651916"/>
    <w:rsid w:val="00661632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415F"/>
    <w:rsid w:val="00711B5D"/>
    <w:rsid w:val="00721A72"/>
    <w:rsid w:val="00741476"/>
    <w:rsid w:val="00752D9C"/>
    <w:rsid w:val="00753E28"/>
    <w:rsid w:val="00763512"/>
    <w:rsid w:val="007659E1"/>
    <w:rsid w:val="0077726A"/>
    <w:rsid w:val="00782D19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33EE"/>
    <w:rsid w:val="00863781"/>
    <w:rsid w:val="00870115"/>
    <w:rsid w:val="00875C1A"/>
    <w:rsid w:val="008846B6"/>
    <w:rsid w:val="008B77AF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395C"/>
    <w:rsid w:val="009465A6"/>
    <w:rsid w:val="00953A38"/>
    <w:rsid w:val="0096032E"/>
    <w:rsid w:val="009760CB"/>
    <w:rsid w:val="009B288D"/>
    <w:rsid w:val="009B3C76"/>
    <w:rsid w:val="009B516D"/>
    <w:rsid w:val="009D475C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71562"/>
    <w:rsid w:val="00A74A3D"/>
    <w:rsid w:val="00A7761F"/>
    <w:rsid w:val="00A83D16"/>
    <w:rsid w:val="00A86089"/>
    <w:rsid w:val="00A86B11"/>
    <w:rsid w:val="00AC15A3"/>
    <w:rsid w:val="00AC5979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A746D"/>
    <w:rsid w:val="00BD1FB6"/>
    <w:rsid w:val="00BE1B3C"/>
    <w:rsid w:val="00BE3D84"/>
    <w:rsid w:val="00BE4FC0"/>
    <w:rsid w:val="00BF42CC"/>
    <w:rsid w:val="00C12185"/>
    <w:rsid w:val="00C2074F"/>
    <w:rsid w:val="00C40228"/>
    <w:rsid w:val="00C4030D"/>
    <w:rsid w:val="00C42B2E"/>
    <w:rsid w:val="00C8209B"/>
    <w:rsid w:val="00C85327"/>
    <w:rsid w:val="00CA0295"/>
    <w:rsid w:val="00CB133E"/>
    <w:rsid w:val="00CB4EA7"/>
    <w:rsid w:val="00CC56AB"/>
    <w:rsid w:val="00CD190C"/>
    <w:rsid w:val="00CE7B6E"/>
    <w:rsid w:val="00CF68BD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B517A"/>
    <w:rsid w:val="00DC239D"/>
    <w:rsid w:val="00DC370C"/>
    <w:rsid w:val="00DC7055"/>
    <w:rsid w:val="00E252A4"/>
    <w:rsid w:val="00E342C4"/>
    <w:rsid w:val="00E37189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123BE"/>
    <w:rsid w:val="00F175ED"/>
    <w:rsid w:val="00F66208"/>
    <w:rsid w:val="00F72F3F"/>
    <w:rsid w:val="00F74C78"/>
    <w:rsid w:val="00F8182C"/>
    <w:rsid w:val="00F86351"/>
    <w:rsid w:val="00F905C2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B13D2-A0D1-4E39-832E-C2FC8827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в </a:t>
            </a:r>
            <a:r>
              <a:rPr lang="en-US" sz="1351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I </a:t>
            </a:r>
            <a:r>
              <a:rPr lang="ru-RU" sz="1351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квартале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2021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741572472574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13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Налог на доходы физических лиц. Исчисление и уплата страховых взносов.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Регистрация юридических и физических лиц. Учет налогоплательщиков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 Оказание услуг в электронном виде. Пользлвание информационными ресурсами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422639064"/>
        <c:axId val="422637104"/>
      </c:barChart>
      <c:catAx>
        <c:axId val="422639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37104"/>
        <c:crosses val="autoZero"/>
        <c:auto val="1"/>
        <c:lblAlgn val="ctr"/>
        <c:lblOffset val="100"/>
        <c:noMultiLvlLbl val="0"/>
      </c:catAx>
      <c:valAx>
        <c:axId val="42263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39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Количество обращений граждан, поступивших в ЦА ФНС России и направленных на рассмотрение в территориальные налоговые органы в </a:t>
            </a:r>
            <a:r>
              <a:rPr lang="en-US" sz="1800" b="1" i="0" u="none" strike="noStrike" baseline="0">
                <a:effectLst/>
              </a:rPr>
              <a:t>I </a:t>
            </a:r>
            <a:r>
              <a:rPr lang="ru-RU" sz="1600" b="1" i="0" baseline="0">
                <a:effectLst/>
              </a:rPr>
              <a:t> квартале 2021 года</a:t>
            </a:r>
            <a:endParaRPr lang="ru-RU" sz="1600">
              <a:effectLst/>
            </a:endParaRPr>
          </a:p>
        </c:rich>
      </c:tx>
      <c:overlay val="0"/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dLbl>
              <c:idx val="5"/>
              <c:layout>
                <c:manualLayout>
                  <c:x val="-1.24017581634631E-2"/>
                  <c:y val="-1.31543614109577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3410082721695721E-3"/>
                  <c:y val="-1.33155110247453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8145022291375259E-3"/>
                  <c:y val="-1.34272374298433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4042571025927147E-3"/>
                  <c:y val="-1.09730007001621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523876132249932E-3"/>
                  <c:y val="-1.14485118746747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231678375532399E-3"/>
                  <c:y val="-9.070956002111718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8.6564404000398151E-3"/>
                  <c:y val="-1.03400840943384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5010661092513135E-3"/>
                  <c:y val="-1.18889775012074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14"/>
                <c:pt idx="0">
                  <c:v>Москва - 26%</c:v>
                </c:pt>
                <c:pt idx="1">
                  <c:v>Московская область - 8% </c:v>
                </c:pt>
                <c:pt idx="2">
                  <c:v>Санкт-Петербург - 5%</c:v>
                </c:pt>
                <c:pt idx="3">
                  <c:v>Краснодарский край -5%</c:v>
                </c:pt>
                <c:pt idx="4">
                  <c:v>Ростовская область - 2%</c:v>
                </c:pt>
                <c:pt idx="5">
                  <c:v>Свердловская область - 2%</c:v>
                </c:pt>
                <c:pt idx="6">
                  <c:v>Республика Татарстан - 2%</c:v>
                </c:pt>
                <c:pt idx="7">
                  <c:v>Воронежская область - 2%</c:v>
                </c:pt>
                <c:pt idx="8">
                  <c:v>Нижегородская область - 2%</c:v>
                </c:pt>
                <c:pt idx="9">
                  <c:v>Республика Башкортостан - 2%</c:v>
                </c:pt>
                <c:pt idx="10">
                  <c:v>Самарская область - 2%</c:v>
                </c:pt>
                <c:pt idx="11">
                  <c:v>Челябинская область - 2%</c:v>
                </c:pt>
                <c:pt idx="12">
                  <c:v>Ставропольский край - 15</c:v>
                </c:pt>
                <c:pt idx="13">
                  <c:v>Другие  - 25%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36</c:v>
                </c:pt>
                <c:pt idx="1">
                  <c:v>11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689975038720384"/>
          <c:y val="0.3071414655200837"/>
          <c:w val="0.19511515512251149"/>
          <c:h val="0.4818439044567468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в </a:t>
            </a:r>
            <a:r>
              <a:rPr lang="en-US" sz="1401" baseline="0"/>
              <a:t>I</a:t>
            </a:r>
            <a:r>
              <a:rPr lang="ru-RU" sz="1401" baseline="0"/>
              <a:t> квартале </a:t>
            </a:r>
            <a:r>
              <a:rPr lang="ru-RU" sz="1401" b="1" i="0" u="none" strike="noStrike" baseline="0">
                <a:effectLst/>
              </a:rPr>
              <a:t>2021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8%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838291046952465"/>
                  <c:y val="4.656419444575415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92%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BBD3-C489-47BA-B7BA-214C4009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Муромская Ольга Вячеславовна</cp:lastModifiedBy>
  <cp:revision>2</cp:revision>
  <cp:lastPrinted>2021-01-26T12:43:00Z</cp:lastPrinted>
  <dcterms:created xsi:type="dcterms:W3CDTF">2021-05-06T10:04:00Z</dcterms:created>
  <dcterms:modified xsi:type="dcterms:W3CDTF">2021-05-06T10:04:00Z</dcterms:modified>
</cp:coreProperties>
</file>