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63" w:rsidRPr="00224C5E" w:rsidRDefault="00272E0D" w:rsidP="002D1564">
      <w:pPr>
        <w:spacing w:after="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 </w:t>
      </w:r>
      <w:r w:rsidR="00DE7963" w:rsidRPr="00224C5E">
        <w:rPr>
          <w:rFonts w:ascii="Times New Roman" w:eastAsia="Times New Roman" w:hAnsi="Times New Roman" w:cs="Times New Roman"/>
          <w:b/>
          <w:bCs/>
          <w:spacing w:val="-4"/>
          <w:sz w:val="28"/>
          <w:szCs w:val="28"/>
        </w:rPr>
        <w:t>Доклад</w:t>
      </w:r>
    </w:p>
    <w:p w:rsidR="00DE7963" w:rsidRPr="00224C5E" w:rsidRDefault="00DE7963" w:rsidP="002D1564">
      <w:pPr>
        <w:spacing w:after="0"/>
        <w:jc w:val="center"/>
        <w:rPr>
          <w:rFonts w:ascii="Times New Roman" w:eastAsia="Times New Roman" w:hAnsi="Times New Roman" w:cs="Times New Roman"/>
          <w:b/>
          <w:bCs/>
          <w:spacing w:val="-4"/>
          <w:sz w:val="28"/>
          <w:szCs w:val="28"/>
        </w:rPr>
      </w:pPr>
      <w:r w:rsidRPr="00224C5E">
        <w:rPr>
          <w:rFonts w:ascii="Times New Roman" w:eastAsia="Times New Roman" w:hAnsi="Times New Roman" w:cs="Times New Roman"/>
          <w:b/>
          <w:bCs/>
          <w:spacing w:val="-4"/>
          <w:sz w:val="28"/>
          <w:szCs w:val="28"/>
        </w:rPr>
        <w:t>начальника отдела обеспечения процедур банкротства</w:t>
      </w:r>
    </w:p>
    <w:p w:rsidR="00DE7963" w:rsidRPr="00224C5E" w:rsidRDefault="00DE7963" w:rsidP="002D1564">
      <w:pPr>
        <w:spacing w:after="0"/>
        <w:jc w:val="center"/>
        <w:rPr>
          <w:rFonts w:ascii="Times New Roman" w:eastAsia="Times New Roman" w:hAnsi="Times New Roman" w:cs="Times New Roman"/>
          <w:b/>
          <w:bCs/>
          <w:spacing w:val="-4"/>
          <w:sz w:val="28"/>
          <w:szCs w:val="28"/>
        </w:rPr>
      </w:pPr>
      <w:r w:rsidRPr="00224C5E">
        <w:rPr>
          <w:rFonts w:ascii="Times New Roman" w:eastAsia="Times New Roman" w:hAnsi="Times New Roman" w:cs="Times New Roman"/>
          <w:b/>
          <w:bCs/>
          <w:spacing w:val="-4"/>
          <w:sz w:val="28"/>
          <w:szCs w:val="28"/>
        </w:rPr>
        <w:t>Управления Федеральной налоговой службы по Московской области</w:t>
      </w:r>
    </w:p>
    <w:p w:rsidR="00DE7963" w:rsidRPr="00224C5E" w:rsidRDefault="002679C9" w:rsidP="002D1564">
      <w:pPr>
        <w:spacing w:after="0"/>
        <w:jc w:val="center"/>
        <w:rPr>
          <w:rFonts w:ascii="Times New Roman" w:eastAsia="Times New Roman" w:hAnsi="Times New Roman" w:cs="Times New Roman"/>
          <w:b/>
          <w:bCs/>
          <w:spacing w:val="-4"/>
          <w:sz w:val="28"/>
          <w:szCs w:val="28"/>
        </w:rPr>
      </w:pPr>
      <w:proofErr w:type="spellStart"/>
      <w:r>
        <w:rPr>
          <w:rFonts w:ascii="Times New Roman" w:eastAsia="Times New Roman" w:hAnsi="Times New Roman" w:cs="Times New Roman"/>
          <w:b/>
          <w:bCs/>
          <w:spacing w:val="-4"/>
          <w:sz w:val="28"/>
          <w:szCs w:val="28"/>
        </w:rPr>
        <w:t>Тен</w:t>
      </w:r>
      <w:proofErr w:type="spellEnd"/>
      <w:r>
        <w:rPr>
          <w:rFonts w:ascii="Times New Roman" w:eastAsia="Times New Roman" w:hAnsi="Times New Roman" w:cs="Times New Roman"/>
          <w:b/>
          <w:bCs/>
          <w:spacing w:val="-4"/>
          <w:sz w:val="28"/>
          <w:szCs w:val="28"/>
        </w:rPr>
        <w:t xml:space="preserve"> Марины Владимировны</w:t>
      </w:r>
    </w:p>
    <w:p w:rsidR="002679C9" w:rsidRDefault="002679C9" w:rsidP="002D1564">
      <w:pPr>
        <w:spacing w:after="0"/>
        <w:jc w:val="center"/>
        <w:rPr>
          <w:rFonts w:ascii="Times New Roman" w:eastAsia="Times New Roman" w:hAnsi="Times New Roman" w:cs="Times New Roman"/>
          <w:bCs/>
          <w:spacing w:val="-4"/>
          <w:sz w:val="28"/>
          <w:szCs w:val="28"/>
        </w:rPr>
      </w:pPr>
    </w:p>
    <w:p w:rsidR="00DE7963" w:rsidRPr="002679C9" w:rsidRDefault="00DE7963" w:rsidP="002D1564">
      <w:pPr>
        <w:spacing w:after="0"/>
        <w:jc w:val="center"/>
        <w:rPr>
          <w:rFonts w:ascii="Times New Roman" w:eastAsia="Times New Roman" w:hAnsi="Times New Roman" w:cs="Times New Roman"/>
          <w:bCs/>
          <w:spacing w:val="-4"/>
          <w:sz w:val="28"/>
          <w:szCs w:val="28"/>
        </w:rPr>
      </w:pPr>
      <w:r w:rsidRPr="002679C9">
        <w:rPr>
          <w:rFonts w:ascii="Times New Roman" w:eastAsia="Times New Roman" w:hAnsi="Times New Roman" w:cs="Times New Roman"/>
          <w:bCs/>
          <w:spacing w:val="-4"/>
          <w:sz w:val="28"/>
          <w:szCs w:val="28"/>
        </w:rPr>
        <w:t>по теме:</w:t>
      </w:r>
    </w:p>
    <w:p w:rsidR="00DE7963" w:rsidRPr="002679C9" w:rsidRDefault="00DE7963" w:rsidP="002D1564">
      <w:pPr>
        <w:spacing w:after="0"/>
        <w:jc w:val="center"/>
        <w:rPr>
          <w:rFonts w:ascii="Times New Roman" w:eastAsia="Times New Roman" w:hAnsi="Times New Roman" w:cs="Times New Roman"/>
          <w:b/>
          <w:bCs/>
          <w:spacing w:val="-4"/>
          <w:sz w:val="28"/>
          <w:szCs w:val="28"/>
        </w:rPr>
      </w:pPr>
      <w:r w:rsidRPr="002679C9">
        <w:rPr>
          <w:rFonts w:ascii="Times New Roman" w:eastAsia="Times New Roman" w:hAnsi="Times New Roman" w:cs="Times New Roman"/>
          <w:b/>
          <w:bCs/>
          <w:spacing w:val="-4"/>
          <w:sz w:val="28"/>
          <w:szCs w:val="28"/>
        </w:rPr>
        <w:t>«</w:t>
      </w:r>
      <w:r w:rsidR="002679C9" w:rsidRPr="002679C9">
        <w:rPr>
          <w:rFonts w:ascii="Times New Roman" w:hAnsi="Times New Roman" w:cs="Times New Roman"/>
          <w:b/>
          <w:sz w:val="28"/>
          <w:szCs w:val="28"/>
        </w:rPr>
        <w:t>Формирование положительной правоприменительной практики по недопущению отступления от установленной законодательством очередности уплаты текущих платежей в делах о банкротстве</w:t>
      </w:r>
      <w:r w:rsidRPr="002679C9">
        <w:rPr>
          <w:rFonts w:ascii="Times New Roman" w:eastAsia="Times New Roman" w:hAnsi="Times New Roman" w:cs="Times New Roman"/>
          <w:b/>
          <w:bCs/>
          <w:spacing w:val="-4"/>
          <w:sz w:val="28"/>
          <w:szCs w:val="28"/>
        </w:rPr>
        <w:t>»</w:t>
      </w:r>
    </w:p>
    <w:p w:rsidR="002679C9" w:rsidRDefault="002679C9" w:rsidP="002D1564">
      <w:pPr>
        <w:spacing w:after="0"/>
        <w:jc w:val="center"/>
        <w:rPr>
          <w:rFonts w:ascii="Times New Roman" w:eastAsia="Times New Roman" w:hAnsi="Times New Roman" w:cs="Times New Roman"/>
          <w:bCs/>
          <w:spacing w:val="-4"/>
          <w:sz w:val="28"/>
          <w:szCs w:val="28"/>
        </w:rPr>
      </w:pPr>
    </w:p>
    <w:p w:rsidR="000F6736" w:rsidRPr="002679C9" w:rsidRDefault="00DE7963" w:rsidP="002D1564">
      <w:pPr>
        <w:spacing w:after="0"/>
        <w:jc w:val="center"/>
        <w:rPr>
          <w:rFonts w:ascii="Times New Roman" w:eastAsia="Times New Roman" w:hAnsi="Times New Roman" w:cs="Times New Roman"/>
          <w:bCs/>
          <w:spacing w:val="-4"/>
          <w:sz w:val="28"/>
          <w:szCs w:val="28"/>
        </w:rPr>
      </w:pPr>
      <w:r w:rsidRPr="002679C9">
        <w:rPr>
          <w:rFonts w:ascii="Times New Roman" w:eastAsia="Times New Roman" w:hAnsi="Times New Roman" w:cs="Times New Roman"/>
          <w:bCs/>
          <w:spacing w:val="-4"/>
          <w:sz w:val="28"/>
          <w:szCs w:val="28"/>
        </w:rPr>
        <w:t xml:space="preserve">на </w:t>
      </w:r>
      <w:r w:rsidR="002679C9" w:rsidRPr="002679C9">
        <w:rPr>
          <w:rFonts w:ascii="Times New Roman" w:eastAsia="Times New Roman" w:hAnsi="Times New Roman" w:cs="Times New Roman"/>
          <w:bCs/>
          <w:spacing w:val="-4"/>
          <w:sz w:val="28"/>
          <w:szCs w:val="28"/>
        </w:rPr>
        <w:t xml:space="preserve">публичных </w:t>
      </w:r>
      <w:r w:rsidR="00272E0D">
        <w:rPr>
          <w:rFonts w:ascii="Times New Roman" w:eastAsia="Times New Roman" w:hAnsi="Times New Roman" w:cs="Times New Roman"/>
          <w:bCs/>
          <w:spacing w:val="-4"/>
          <w:sz w:val="28"/>
          <w:szCs w:val="28"/>
        </w:rPr>
        <w:t>слушаниях</w:t>
      </w:r>
      <w:r w:rsidRPr="002679C9">
        <w:rPr>
          <w:rFonts w:ascii="Times New Roman" w:eastAsia="Times New Roman" w:hAnsi="Times New Roman" w:cs="Times New Roman"/>
          <w:bCs/>
          <w:spacing w:val="-4"/>
          <w:sz w:val="28"/>
          <w:szCs w:val="28"/>
        </w:rPr>
        <w:t xml:space="preserve"> </w:t>
      </w:r>
      <w:r w:rsidR="002679C9" w:rsidRPr="002679C9">
        <w:rPr>
          <w:rFonts w:ascii="Times New Roman" w:hAnsi="Times New Roman" w:cs="Times New Roman"/>
          <w:sz w:val="28"/>
          <w:szCs w:val="28"/>
        </w:rPr>
        <w:t>результатов правоприменительной практики 28</w:t>
      </w:r>
      <w:r w:rsidRPr="002679C9">
        <w:rPr>
          <w:rFonts w:ascii="Times New Roman" w:eastAsia="Times New Roman" w:hAnsi="Times New Roman" w:cs="Times New Roman"/>
          <w:bCs/>
          <w:spacing w:val="-4"/>
          <w:sz w:val="28"/>
          <w:szCs w:val="28"/>
        </w:rPr>
        <w:t>.</w:t>
      </w:r>
      <w:r w:rsidR="002679C9" w:rsidRPr="002679C9">
        <w:rPr>
          <w:rFonts w:ascii="Times New Roman" w:eastAsia="Times New Roman" w:hAnsi="Times New Roman" w:cs="Times New Roman"/>
          <w:bCs/>
          <w:spacing w:val="-4"/>
          <w:sz w:val="28"/>
          <w:szCs w:val="28"/>
        </w:rPr>
        <w:t>0</w:t>
      </w:r>
      <w:r w:rsidR="006532B4" w:rsidRPr="002679C9">
        <w:rPr>
          <w:rFonts w:ascii="Times New Roman" w:eastAsia="Times New Roman" w:hAnsi="Times New Roman" w:cs="Times New Roman"/>
          <w:bCs/>
          <w:spacing w:val="-4"/>
          <w:sz w:val="28"/>
          <w:szCs w:val="28"/>
        </w:rPr>
        <w:t>2</w:t>
      </w:r>
      <w:r w:rsidRPr="002679C9">
        <w:rPr>
          <w:rFonts w:ascii="Times New Roman" w:eastAsia="Times New Roman" w:hAnsi="Times New Roman" w:cs="Times New Roman"/>
          <w:bCs/>
          <w:spacing w:val="-4"/>
          <w:sz w:val="28"/>
          <w:szCs w:val="28"/>
        </w:rPr>
        <w:t>.201</w:t>
      </w:r>
      <w:r w:rsidR="002679C9" w:rsidRPr="002679C9">
        <w:rPr>
          <w:rFonts w:ascii="Times New Roman" w:eastAsia="Times New Roman" w:hAnsi="Times New Roman" w:cs="Times New Roman"/>
          <w:bCs/>
          <w:spacing w:val="-4"/>
          <w:sz w:val="28"/>
          <w:szCs w:val="28"/>
        </w:rPr>
        <w:t>9</w:t>
      </w:r>
      <w:r w:rsidR="000F6736" w:rsidRPr="002679C9">
        <w:rPr>
          <w:rFonts w:ascii="Times New Roman" w:eastAsia="Times New Roman" w:hAnsi="Times New Roman" w:cs="Times New Roman"/>
          <w:bCs/>
          <w:spacing w:val="-4"/>
          <w:sz w:val="28"/>
          <w:szCs w:val="28"/>
        </w:rPr>
        <w:t xml:space="preserve"> </w:t>
      </w:r>
    </w:p>
    <w:p w:rsidR="00DE7963" w:rsidRPr="00224C5E" w:rsidRDefault="00DE7963" w:rsidP="002D1564">
      <w:pPr>
        <w:spacing w:after="0"/>
        <w:ind w:firstLine="709"/>
        <w:jc w:val="center"/>
        <w:rPr>
          <w:rFonts w:ascii="Times New Roman" w:eastAsia="Times New Roman" w:hAnsi="Times New Roman" w:cs="Times New Roman"/>
          <w:b/>
          <w:bCs/>
          <w:spacing w:val="-4"/>
          <w:sz w:val="28"/>
          <w:szCs w:val="28"/>
        </w:rPr>
      </w:pPr>
    </w:p>
    <w:p w:rsidR="00DE7963" w:rsidRDefault="002679C9" w:rsidP="002D1564">
      <w:pPr>
        <w:pStyle w:val="ab"/>
        <w:spacing w:after="0" w:line="276" w:lineRule="auto"/>
        <w:rPr>
          <w:sz w:val="28"/>
          <w:szCs w:val="28"/>
        </w:rPr>
      </w:pPr>
      <w:r>
        <w:rPr>
          <w:sz w:val="28"/>
          <w:szCs w:val="28"/>
        </w:rPr>
        <w:t>28</w:t>
      </w:r>
      <w:r w:rsidR="00DE7963">
        <w:rPr>
          <w:sz w:val="28"/>
          <w:szCs w:val="28"/>
        </w:rPr>
        <w:t>.</w:t>
      </w:r>
      <w:r>
        <w:rPr>
          <w:sz w:val="28"/>
          <w:szCs w:val="28"/>
        </w:rPr>
        <w:t>0</w:t>
      </w:r>
      <w:r w:rsidR="00547B46">
        <w:rPr>
          <w:sz w:val="28"/>
          <w:szCs w:val="28"/>
        </w:rPr>
        <w:t>2</w:t>
      </w:r>
      <w:r w:rsidR="00DE7963">
        <w:rPr>
          <w:sz w:val="28"/>
          <w:szCs w:val="28"/>
        </w:rPr>
        <w:t>.201</w:t>
      </w:r>
      <w:r>
        <w:rPr>
          <w:sz w:val="28"/>
          <w:szCs w:val="28"/>
        </w:rPr>
        <w:t>9</w:t>
      </w:r>
      <w:r w:rsidR="00DE7963">
        <w:rPr>
          <w:sz w:val="28"/>
          <w:szCs w:val="28"/>
        </w:rPr>
        <w:t>г.                                                                                                г. Москва</w:t>
      </w:r>
    </w:p>
    <w:p w:rsidR="00A449FF" w:rsidRDefault="00A449FF" w:rsidP="002D1564">
      <w:pPr>
        <w:pStyle w:val="ab"/>
        <w:spacing w:after="0" w:line="276" w:lineRule="auto"/>
        <w:rPr>
          <w:sz w:val="28"/>
          <w:szCs w:val="28"/>
        </w:rPr>
      </w:pPr>
    </w:p>
    <w:p w:rsidR="00DE7963" w:rsidRDefault="00E46645" w:rsidP="002D1564">
      <w:pPr>
        <w:pStyle w:val="ab"/>
        <w:spacing w:after="0" w:line="276" w:lineRule="auto"/>
        <w:jc w:val="center"/>
        <w:rPr>
          <w:sz w:val="28"/>
          <w:szCs w:val="28"/>
        </w:rPr>
      </w:pPr>
      <w:r w:rsidRPr="00E46645">
        <w:rPr>
          <w:noProof/>
          <w:sz w:val="28"/>
          <w:szCs w:val="28"/>
        </w:rPr>
        <w:drawing>
          <wp:inline distT="0" distB="0" distL="0" distR="0" wp14:anchorId="343DAC96" wp14:editId="3D12B2F6">
            <wp:extent cx="4572638" cy="25721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2572109"/>
                    </a:xfrm>
                    <a:prstGeom prst="rect">
                      <a:avLst/>
                    </a:prstGeom>
                  </pic:spPr>
                </pic:pic>
              </a:graphicData>
            </a:graphic>
          </wp:inline>
        </w:drawing>
      </w:r>
    </w:p>
    <w:p w:rsidR="00E46645" w:rsidRDefault="00E46645" w:rsidP="002D1564">
      <w:pPr>
        <w:pStyle w:val="ab"/>
        <w:spacing w:after="0" w:line="276" w:lineRule="auto"/>
        <w:jc w:val="center"/>
        <w:rPr>
          <w:sz w:val="28"/>
          <w:szCs w:val="28"/>
        </w:rPr>
      </w:pPr>
    </w:p>
    <w:p w:rsidR="006532B4" w:rsidRDefault="006532B4" w:rsidP="002D1564">
      <w:pPr>
        <w:pStyle w:val="ab"/>
        <w:spacing w:after="0" w:line="276" w:lineRule="auto"/>
        <w:jc w:val="center"/>
        <w:rPr>
          <w:sz w:val="28"/>
          <w:szCs w:val="28"/>
        </w:rPr>
      </w:pPr>
      <w:r>
        <w:rPr>
          <w:sz w:val="28"/>
          <w:szCs w:val="28"/>
        </w:rPr>
        <w:t>Добрый день, уважаем</w:t>
      </w:r>
      <w:r w:rsidR="002679C9">
        <w:rPr>
          <w:sz w:val="28"/>
          <w:szCs w:val="28"/>
        </w:rPr>
        <w:t>ая</w:t>
      </w:r>
      <w:r>
        <w:rPr>
          <w:sz w:val="28"/>
          <w:szCs w:val="28"/>
        </w:rPr>
        <w:t xml:space="preserve"> </w:t>
      </w:r>
      <w:r w:rsidR="002679C9">
        <w:rPr>
          <w:sz w:val="28"/>
          <w:szCs w:val="28"/>
        </w:rPr>
        <w:t>Екатерина Викторовна</w:t>
      </w:r>
      <w:r>
        <w:rPr>
          <w:sz w:val="28"/>
          <w:szCs w:val="28"/>
        </w:rPr>
        <w:t>!</w:t>
      </w:r>
    </w:p>
    <w:p w:rsidR="00DE7963" w:rsidRPr="00224C5E" w:rsidRDefault="00DE7963" w:rsidP="002D1564">
      <w:pPr>
        <w:pStyle w:val="ab"/>
        <w:spacing w:after="0" w:line="276" w:lineRule="auto"/>
        <w:jc w:val="center"/>
        <w:rPr>
          <w:sz w:val="28"/>
          <w:szCs w:val="28"/>
        </w:rPr>
      </w:pPr>
      <w:r w:rsidRPr="00224C5E">
        <w:rPr>
          <w:sz w:val="28"/>
          <w:szCs w:val="28"/>
        </w:rPr>
        <w:t>Добрый день</w:t>
      </w:r>
      <w:r w:rsidR="006532B4">
        <w:rPr>
          <w:sz w:val="28"/>
          <w:szCs w:val="28"/>
        </w:rPr>
        <w:t>,</w:t>
      </w:r>
      <w:r w:rsidRPr="00224C5E">
        <w:rPr>
          <w:sz w:val="28"/>
          <w:szCs w:val="28"/>
        </w:rPr>
        <w:t xml:space="preserve"> </w:t>
      </w:r>
      <w:r w:rsidR="00272E0D">
        <w:rPr>
          <w:sz w:val="28"/>
          <w:szCs w:val="28"/>
        </w:rPr>
        <w:t>участники слушаний</w:t>
      </w:r>
      <w:r w:rsidRPr="00224C5E">
        <w:rPr>
          <w:sz w:val="28"/>
          <w:szCs w:val="28"/>
        </w:rPr>
        <w:t>!</w:t>
      </w:r>
    </w:p>
    <w:p w:rsidR="00DE7963" w:rsidRDefault="00DE7963" w:rsidP="002D1564">
      <w:pPr>
        <w:spacing w:after="0"/>
        <w:ind w:firstLine="709"/>
        <w:jc w:val="both"/>
        <w:rPr>
          <w:rFonts w:ascii="Times New Roman" w:hAnsi="Times New Roman" w:cs="Times New Roman"/>
          <w:sz w:val="28"/>
          <w:szCs w:val="28"/>
        </w:rPr>
      </w:pPr>
    </w:p>
    <w:p w:rsidR="00272E0D" w:rsidRPr="00272E0D" w:rsidRDefault="00272E0D" w:rsidP="00443673">
      <w:pPr>
        <w:spacing w:after="0"/>
        <w:ind w:firstLine="709"/>
        <w:jc w:val="both"/>
        <w:rPr>
          <w:rFonts w:ascii="Times New Roman" w:hAnsi="Times New Roman" w:cs="Times New Roman"/>
          <w:bCs/>
          <w:sz w:val="28"/>
          <w:szCs w:val="28"/>
        </w:rPr>
      </w:pPr>
      <w:r w:rsidRPr="00272E0D">
        <w:rPr>
          <w:rFonts w:ascii="Times New Roman" w:hAnsi="Times New Roman" w:cs="Times New Roman"/>
          <w:bCs/>
          <w:sz w:val="28"/>
          <w:szCs w:val="28"/>
        </w:rPr>
        <w:t xml:space="preserve">На территории Московской области по состоянию на 01.01.2019 в процедурах банкротства находилось 4 065 организаций и граждан, включая </w:t>
      </w:r>
      <w:r>
        <w:rPr>
          <w:rFonts w:ascii="Times New Roman" w:hAnsi="Times New Roman" w:cs="Times New Roman"/>
          <w:bCs/>
          <w:sz w:val="28"/>
          <w:szCs w:val="28"/>
        </w:rPr>
        <w:t>индивидуальных предпринимателей</w:t>
      </w:r>
      <w:r w:rsidRPr="00272E0D">
        <w:rPr>
          <w:rFonts w:ascii="Times New Roman" w:hAnsi="Times New Roman" w:cs="Times New Roman"/>
          <w:bCs/>
          <w:sz w:val="28"/>
          <w:szCs w:val="28"/>
        </w:rPr>
        <w:t xml:space="preserve"> (</w:t>
      </w:r>
      <w:r>
        <w:rPr>
          <w:rFonts w:ascii="Times New Roman" w:hAnsi="Times New Roman" w:cs="Times New Roman"/>
          <w:bCs/>
          <w:sz w:val="28"/>
          <w:szCs w:val="28"/>
        </w:rPr>
        <w:t xml:space="preserve">в том числе - </w:t>
      </w:r>
      <w:r w:rsidRPr="00272E0D">
        <w:rPr>
          <w:rFonts w:ascii="Times New Roman" w:hAnsi="Times New Roman" w:cs="Times New Roman"/>
          <w:sz w:val="28"/>
          <w:szCs w:val="28"/>
        </w:rPr>
        <w:t xml:space="preserve">1 875 организаций, 2 018 граждан, 172 индивидуальных предпринимателя) </w:t>
      </w:r>
      <w:r w:rsidRPr="00272E0D">
        <w:rPr>
          <w:rFonts w:ascii="Times New Roman" w:hAnsi="Times New Roman" w:cs="Times New Roman"/>
          <w:bCs/>
          <w:sz w:val="28"/>
          <w:szCs w:val="28"/>
        </w:rPr>
        <w:t>c задолженностью по платежам</w:t>
      </w:r>
      <w:r>
        <w:rPr>
          <w:rFonts w:ascii="Times New Roman" w:hAnsi="Times New Roman" w:cs="Times New Roman"/>
          <w:bCs/>
          <w:sz w:val="28"/>
          <w:szCs w:val="28"/>
        </w:rPr>
        <w:t>,</w:t>
      </w:r>
      <w:r w:rsidRPr="00272E0D">
        <w:rPr>
          <w:rFonts w:ascii="Times New Roman" w:hAnsi="Times New Roman" w:cs="Times New Roman"/>
          <w:bCs/>
          <w:sz w:val="28"/>
          <w:szCs w:val="28"/>
        </w:rPr>
        <w:t xml:space="preserve"> администрируемым ФНС России</w:t>
      </w:r>
      <w:r>
        <w:rPr>
          <w:rFonts w:ascii="Times New Roman" w:hAnsi="Times New Roman" w:cs="Times New Roman"/>
          <w:bCs/>
          <w:sz w:val="28"/>
          <w:szCs w:val="28"/>
        </w:rPr>
        <w:t>,</w:t>
      </w:r>
      <w:r w:rsidRPr="00272E0D">
        <w:rPr>
          <w:rFonts w:ascii="Times New Roman" w:hAnsi="Times New Roman" w:cs="Times New Roman"/>
          <w:bCs/>
          <w:sz w:val="28"/>
          <w:szCs w:val="28"/>
        </w:rPr>
        <w:t xml:space="preserve"> в размере 52,5 млрд. рублей. </w:t>
      </w:r>
    </w:p>
    <w:p w:rsidR="008A2CE7" w:rsidRPr="002D1564" w:rsidRDefault="00192A8B" w:rsidP="002D1564">
      <w:pPr>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ФНС России</w:t>
      </w:r>
      <w:r w:rsidR="008A2CE7" w:rsidRPr="002D1564">
        <w:rPr>
          <w:rFonts w:ascii="Times New Roman" w:hAnsi="Times New Roman" w:cs="Times New Roman"/>
          <w:sz w:val="28"/>
          <w:szCs w:val="28"/>
        </w:rPr>
        <w:t xml:space="preserve"> разработаны и доведены до территориальных налоговых органов основные механизмы повышения эффективности процедур банкротства, направленные на достижение конечной цели – поступление денежных сре</w:t>
      </w:r>
      <w:proofErr w:type="gramStart"/>
      <w:r w:rsidR="008A2CE7" w:rsidRPr="002D1564">
        <w:rPr>
          <w:rFonts w:ascii="Times New Roman" w:hAnsi="Times New Roman" w:cs="Times New Roman"/>
          <w:sz w:val="28"/>
          <w:szCs w:val="28"/>
        </w:rPr>
        <w:t>дств в б</w:t>
      </w:r>
      <w:proofErr w:type="gramEnd"/>
      <w:r w:rsidR="008A2CE7" w:rsidRPr="002D1564">
        <w:rPr>
          <w:rFonts w:ascii="Times New Roman" w:hAnsi="Times New Roman" w:cs="Times New Roman"/>
          <w:sz w:val="28"/>
          <w:szCs w:val="28"/>
        </w:rPr>
        <w:t>юджет.</w:t>
      </w:r>
    </w:p>
    <w:p w:rsidR="008A2CE7" w:rsidRDefault="008A2CE7" w:rsidP="002D1564">
      <w:pPr>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lastRenderedPageBreak/>
        <w:t>Это и оспаривание сделок должника, и привлечение контролирующих должника лиц к субсидиарной ответственности, и эффективное взаимодействие с правоохранительными органами,</w:t>
      </w:r>
      <w:r w:rsidR="002162A3" w:rsidRPr="002D1564">
        <w:rPr>
          <w:rFonts w:ascii="Times New Roman" w:hAnsi="Times New Roman" w:cs="Times New Roman"/>
          <w:sz w:val="28"/>
          <w:szCs w:val="28"/>
        </w:rPr>
        <w:t xml:space="preserve"> и</w:t>
      </w:r>
      <w:r w:rsidRPr="002D1564">
        <w:rPr>
          <w:rFonts w:ascii="Times New Roman" w:hAnsi="Times New Roman" w:cs="Times New Roman"/>
          <w:sz w:val="28"/>
          <w:szCs w:val="28"/>
        </w:rPr>
        <w:t xml:space="preserve"> </w:t>
      </w:r>
      <w:r w:rsidR="002162A3" w:rsidRPr="002D1564">
        <w:rPr>
          <w:rFonts w:ascii="Times New Roman" w:hAnsi="Times New Roman" w:cs="Times New Roman"/>
          <w:sz w:val="28"/>
          <w:szCs w:val="28"/>
        </w:rPr>
        <w:t xml:space="preserve">взыскание с зависимых лиц задолженности в порядке </w:t>
      </w:r>
      <w:proofErr w:type="spellStart"/>
      <w:r w:rsidR="002162A3" w:rsidRPr="002D1564">
        <w:rPr>
          <w:rFonts w:ascii="Times New Roman" w:hAnsi="Times New Roman" w:cs="Times New Roman"/>
          <w:sz w:val="28"/>
          <w:szCs w:val="28"/>
        </w:rPr>
        <w:t>пп</w:t>
      </w:r>
      <w:proofErr w:type="spellEnd"/>
      <w:r w:rsidR="002162A3" w:rsidRPr="002D1564">
        <w:rPr>
          <w:rFonts w:ascii="Times New Roman" w:hAnsi="Times New Roman" w:cs="Times New Roman"/>
          <w:sz w:val="28"/>
          <w:szCs w:val="28"/>
        </w:rPr>
        <w:t>. 2 п. 2 ст. 45 НК РФ, а также</w:t>
      </w:r>
      <w:r w:rsidR="003C4DC5">
        <w:rPr>
          <w:rFonts w:ascii="Times New Roman" w:hAnsi="Times New Roman" w:cs="Times New Roman"/>
          <w:sz w:val="28"/>
          <w:szCs w:val="28"/>
        </w:rPr>
        <w:t>, безусловно,</w:t>
      </w:r>
      <w:r w:rsidRPr="002D1564">
        <w:rPr>
          <w:rFonts w:ascii="Times New Roman" w:hAnsi="Times New Roman" w:cs="Times New Roman"/>
          <w:sz w:val="28"/>
          <w:szCs w:val="28"/>
        </w:rPr>
        <w:t xml:space="preserve"> </w:t>
      </w:r>
      <w:proofErr w:type="gramStart"/>
      <w:r w:rsidRPr="002D1564">
        <w:rPr>
          <w:rFonts w:ascii="Times New Roman" w:hAnsi="Times New Roman" w:cs="Times New Roman"/>
          <w:sz w:val="28"/>
          <w:szCs w:val="28"/>
        </w:rPr>
        <w:t>контроль за</w:t>
      </w:r>
      <w:proofErr w:type="gramEnd"/>
      <w:r w:rsidRPr="002D1564">
        <w:rPr>
          <w:rFonts w:ascii="Times New Roman" w:hAnsi="Times New Roman" w:cs="Times New Roman"/>
          <w:sz w:val="28"/>
          <w:szCs w:val="28"/>
        </w:rPr>
        <w:t xml:space="preserve"> полнотой и своевременностью уплаты в бюджет текущих платежей.</w:t>
      </w:r>
    </w:p>
    <w:p w:rsidR="00A449FF" w:rsidRPr="002D1564" w:rsidRDefault="00A449FF" w:rsidP="002D1564">
      <w:pPr>
        <w:spacing w:after="0"/>
        <w:ind w:firstLine="708"/>
        <w:jc w:val="both"/>
        <w:rPr>
          <w:rFonts w:ascii="Times New Roman" w:hAnsi="Times New Roman" w:cs="Times New Roman"/>
          <w:sz w:val="28"/>
          <w:szCs w:val="28"/>
        </w:rPr>
      </w:pPr>
    </w:p>
    <w:p w:rsidR="00E46645" w:rsidRDefault="00E46645" w:rsidP="00E46645">
      <w:pPr>
        <w:pStyle w:val="a7"/>
        <w:tabs>
          <w:tab w:val="left" w:pos="825"/>
        </w:tabs>
        <w:spacing w:line="276" w:lineRule="auto"/>
        <w:ind w:firstLine="709"/>
        <w:jc w:val="right"/>
        <w:rPr>
          <w:rFonts w:ascii="Times New Roman" w:hAnsi="Times New Roman" w:cs="Times New Roman"/>
          <w:sz w:val="28"/>
          <w:szCs w:val="28"/>
        </w:rPr>
      </w:pPr>
      <w:r w:rsidRPr="00E46645">
        <w:rPr>
          <w:rFonts w:ascii="Times New Roman" w:hAnsi="Times New Roman" w:cs="Times New Roman"/>
          <w:b/>
          <w:sz w:val="28"/>
          <w:szCs w:val="28"/>
        </w:rPr>
        <w:t xml:space="preserve">Слайд № </w:t>
      </w:r>
      <w:r>
        <w:rPr>
          <w:rFonts w:ascii="Times New Roman" w:hAnsi="Times New Roman" w:cs="Times New Roman"/>
          <w:b/>
          <w:sz w:val="28"/>
          <w:szCs w:val="28"/>
        </w:rPr>
        <w:t>2</w:t>
      </w:r>
      <w:r w:rsidRPr="00E46645">
        <w:rPr>
          <w:rFonts w:ascii="Times New Roman" w:hAnsi="Times New Roman" w:cs="Times New Roman"/>
          <w:b/>
          <w:sz w:val="28"/>
          <w:szCs w:val="28"/>
        </w:rPr>
        <w:t>.</w:t>
      </w:r>
    </w:p>
    <w:p w:rsidR="00E46645" w:rsidRDefault="00E46645" w:rsidP="00A449FF">
      <w:pPr>
        <w:pStyle w:val="a7"/>
        <w:tabs>
          <w:tab w:val="left" w:pos="825"/>
        </w:tabs>
        <w:spacing w:line="276" w:lineRule="auto"/>
        <w:ind w:firstLine="709"/>
        <w:rPr>
          <w:rFonts w:ascii="Times New Roman" w:hAnsi="Times New Roman" w:cs="Times New Roman"/>
          <w:sz w:val="28"/>
          <w:szCs w:val="28"/>
        </w:rPr>
      </w:pPr>
      <w:r w:rsidRPr="00E46645">
        <w:rPr>
          <w:rFonts w:ascii="Times New Roman" w:hAnsi="Times New Roman" w:cs="Times New Roman"/>
          <w:noProof/>
          <w:sz w:val="28"/>
          <w:szCs w:val="28"/>
        </w:rPr>
        <w:drawing>
          <wp:inline distT="0" distB="0" distL="0" distR="0" wp14:anchorId="780E5045" wp14:editId="582A6266">
            <wp:extent cx="5181605" cy="291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09226" cy="2930187"/>
                    </a:xfrm>
                    <a:prstGeom prst="rect">
                      <a:avLst/>
                    </a:prstGeom>
                  </pic:spPr>
                </pic:pic>
              </a:graphicData>
            </a:graphic>
          </wp:inline>
        </w:drawing>
      </w:r>
    </w:p>
    <w:p w:rsidR="00A449FF" w:rsidRDefault="00A449FF" w:rsidP="002D1564">
      <w:pPr>
        <w:pStyle w:val="a7"/>
        <w:tabs>
          <w:tab w:val="left" w:pos="825"/>
        </w:tabs>
        <w:spacing w:line="276" w:lineRule="auto"/>
        <w:ind w:firstLine="709"/>
        <w:jc w:val="both"/>
        <w:rPr>
          <w:rFonts w:ascii="Times New Roman" w:hAnsi="Times New Roman" w:cs="Times New Roman"/>
          <w:sz w:val="28"/>
          <w:szCs w:val="28"/>
        </w:rPr>
      </w:pPr>
    </w:p>
    <w:p w:rsidR="009A7C3B" w:rsidRDefault="002162A3" w:rsidP="009A7C3B">
      <w:pPr>
        <w:pStyle w:val="a7"/>
        <w:tabs>
          <w:tab w:val="left" w:pos="825"/>
        </w:tabs>
        <w:spacing w:line="276" w:lineRule="auto"/>
        <w:ind w:firstLine="709"/>
        <w:jc w:val="both"/>
        <w:rPr>
          <w:rFonts w:ascii="Times New Roman" w:hAnsi="Times New Roman" w:cs="Times New Roman"/>
          <w:color w:val="000000"/>
          <w:sz w:val="28"/>
          <w:szCs w:val="28"/>
        </w:rPr>
      </w:pPr>
      <w:r w:rsidRPr="002D1564">
        <w:rPr>
          <w:rFonts w:ascii="Times New Roman" w:hAnsi="Times New Roman" w:cs="Times New Roman"/>
          <w:sz w:val="28"/>
          <w:szCs w:val="28"/>
        </w:rPr>
        <w:t xml:space="preserve">Погашение задолженности по текущим налоговым платежам (в том числе по страховым взносам на обязательное пенсионное страхование) определено ФНС России в </w:t>
      </w:r>
      <w:r w:rsidRPr="002D1564">
        <w:rPr>
          <w:rFonts w:ascii="Times New Roman" w:hAnsi="Times New Roman" w:cs="Times New Roman"/>
          <w:color w:val="000000"/>
          <w:sz w:val="28"/>
          <w:szCs w:val="28"/>
        </w:rPr>
        <w:t>качестве одного из приоритетных направлений работы уполномоченного органа по повышению эффективности взыскания задолженности в процедурах банкротства.</w:t>
      </w:r>
      <w:r w:rsidR="009A7C3B">
        <w:rPr>
          <w:rFonts w:ascii="Times New Roman" w:hAnsi="Times New Roman" w:cs="Times New Roman"/>
          <w:color w:val="000000"/>
          <w:sz w:val="28"/>
          <w:szCs w:val="28"/>
        </w:rPr>
        <w:t xml:space="preserve"> </w:t>
      </w:r>
    </w:p>
    <w:p w:rsidR="009A7C3B" w:rsidRDefault="009A7C3B" w:rsidP="002D156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поступления от текущих платежей приходится наибольшая доля в структуре поступлений от процедур банкротства в целом. Так, за 2018 год от процедур банкротства должников, зарегистрированных на территории Московской области, в бюджет поступило всего 6 038 млн. рублей, из них от взыскания текущих платежей поступления составили 2 965 млн. рублей или 49% от всего объема поступлений.</w:t>
      </w:r>
    </w:p>
    <w:p w:rsidR="00F641C3" w:rsidRDefault="00F641C3" w:rsidP="00F641C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роста задолженности по текущим обязательным платежам являются:</w:t>
      </w:r>
    </w:p>
    <w:p w:rsidR="00F641C3" w:rsidRPr="00F641C3" w:rsidRDefault="00F641C3" w:rsidP="002D1564">
      <w:pPr>
        <w:spacing w:after="0"/>
        <w:ind w:firstLine="709"/>
        <w:jc w:val="both"/>
        <w:rPr>
          <w:rFonts w:ascii="Times New Roman" w:hAnsi="Times New Roman" w:cs="Times New Roman"/>
          <w:sz w:val="28"/>
          <w:szCs w:val="28"/>
        </w:rPr>
      </w:pPr>
      <w:r w:rsidRPr="00F641C3">
        <w:rPr>
          <w:rFonts w:ascii="Times New Roman" w:hAnsi="Times New Roman" w:cs="Times New Roman"/>
          <w:sz w:val="28"/>
          <w:szCs w:val="28"/>
        </w:rPr>
        <w:t xml:space="preserve">- </w:t>
      </w:r>
      <w:r w:rsidR="00272E0D">
        <w:rPr>
          <w:rFonts w:ascii="Times New Roman" w:hAnsi="Times New Roman" w:cs="Times New Roman"/>
          <w:sz w:val="28"/>
          <w:szCs w:val="28"/>
        </w:rPr>
        <w:t>с</w:t>
      </w:r>
      <w:r w:rsidRPr="00F641C3">
        <w:rPr>
          <w:rFonts w:ascii="Times New Roman" w:hAnsi="Times New Roman" w:cs="Times New Roman"/>
          <w:sz w:val="28"/>
          <w:szCs w:val="28"/>
        </w:rPr>
        <w:t>амостоятельное ведение должником заведомо убыточной деятельности в процедуре банкротства;</w:t>
      </w:r>
    </w:p>
    <w:p w:rsidR="00F641C3" w:rsidRPr="00F641C3" w:rsidRDefault="00F641C3" w:rsidP="00F641C3">
      <w:pPr>
        <w:pStyle w:val="ConsPlusNormal"/>
        <w:spacing w:line="264" w:lineRule="auto"/>
        <w:ind w:firstLine="708"/>
        <w:jc w:val="both"/>
      </w:pPr>
      <w:r w:rsidRPr="00F641C3">
        <w:t xml:space="preserve">- </w:t>
      </w:r>
      <w:r w:rsidR="00272E0D">
        <w:t>о</w:t>
      </w:r>
      <w:r w:rsidRPr="00F641C3">
        <w:t>существление расчетов через третьих лиц, минуя расчетные счета должника. Формирование центра убытков на стороне должника;</w:t>
      </w:r>
    </w:p>
    <w:p w:rsidR="00F641C3" w:rsidRPr="00F641C3" w:rsidRDefault="00F641C3" w:rsidP="002D1564">
      <w:pPr>
        <w:spacing w:after="0"/>
        <w:ind w:firstLine="709"/>
        <w:jc w:val="both"/>
        <w:rPr>
          <w:rFonts w:ascii="Times New Roman" w:hAnsi="Times New Roman" w:cs="Times New Roman"/>
          <w:sz w:val="28"/>
          <w:szCs w:val="28"/>
        </w:rPr>
      </w:pPr>
      <w:r w:rsidRPr="00F641C3">
        <w:rPr>
          <w:rFonts w:ascii="Times New Roman" w:hAnsi="Times New Roman" w:cs="Times New Roman"/>
          <w:sz w:val="28"/>
          <w:szCs w:val="28"/>
        </w:rPr>
        <w:lastRenderedPageBreak/>
        <w:t xml:space="preserve">- </w:t>
      </w:r>
      <w:r w:rsidR="00272E0D">
        <w:rPr>
          <w:rFonts w:ascii="Times New Roman" w:hAnsi="Times New Roman" w:cs="Times New Roman"/>
          <w:sz w:val="28"/>
          <w:szCs w:val="28"/>
        </w:rPr>
        <w:t>р</w:t>
      </w:r>
      <w:r w:rsidRPr="00F641C3">
        <w:rPr>
          <w:rFonts w:ascii="Times New Roman" w:hAnsi="Times New Roman" w:cs="Times New Roman"/>
          <w:sz w:val="28"/>
          <w:szCs w:val="28"/>
        </w:rPr>
        <w:t>асходование денежных сре</w:t>
      </w:r>
      <w:proofErr w:type="gramStart"/>
      <w:r w:rsidRPr="00F641C3">
        <w:rPr>
          <w:rFonts w:ascii="Times New Roman" w:hAnsi="Times New Roman" w:cs="Times New Roman"/>
          <w:sz w:val="28"/>
          <w:szCs w:val="28"/>
        </w:rPr>
        <w:t>дств с р</w:t>
      </w:r>
      <w:proofErr w:type="gramEnd"/>
      <w:r w:rsidRPr="00F641C3">
        <w:rPr>
          <w:rFonts w:ascii="Times New Roman" w:hAnsi="Times New Roman" w:cs="Times New Roman"/>
          <w:sz w:val="28"/>
          <w:szCs w:val="28"/>
        </w:rPr>
        <w:t>асчетного счета должника в нарушение установленной очередности;</w:t>
      </w:r>
    </w:p>
    <w:p w:rsidR="00F641C3" w:rsidRPr="00F641C3" w:rsidRDefault="00F641C3" w:rsidP="002D1564">
      <w:pPr>
        <w:spacing w:after="0"/>
        <w:ind w:firstLine="709"/>
        <w:jc w:val="both"/>
        <w:rPr>
          <w:rFonts w:ascii="Times New Roman" w:hAnsi="Times New Roman" w:cs="Times New Roman"/>
          <w:sz w:val="28"/>
          <w:szCs w:val="28"/>
        </w:rPr>
      </w:pPr>
      <w:r w:rsidRPr="00F641C3">
        <w:rPr>
          <w:rFonts w:ascii="Times New Roman" w:hAnsi="Times New Roman" w:cs="Times New Roman"/>
          <w:sz w:val="28"/>
          <w:szCs w:val="28"/>
        </w:rPr>
        <w:t xml:space="preserve">- </w:t>
      </w:r>
      <w:r w:rsidR="00272E0D">
        <w:rPr>
          <w:rFonts w:ascii="Times New Roman" w:hAnsi="Times New Roman" w:cs="Times New Roman"/>
          <w:sz w:val="28"/>
          <w:szCs w:val="28"/>
        </w:rPr>
        <w:t>б</w:t>
      </w:r>
      <w:r w:rsidRPr="00F641C3">
        <w:rPr>
          <w:rFonts w:ascii="Times New Roman" w:hAnsi="Times New Roman" w:cs="Times New Roman"/>
          <w:sz w:val="28"/>
          <w:szCs w:val="28"/>
        </w:rPr>
        <w:t>езосновательное изменение календарной очередности уплаты текущих платежей</w:t>
      </w:r>
      <w:r>
        <w:rPr>
          <w:rFonts w:ascii="Times New Roman" w:hAnsi="Times New Roman" w:cs="Times New Roman"/>
          <w:sz w:val="28"/>
          <w:szCs w:val="28"/>
        </w:rPr>
        <w:t>.</w:t>
      </w:r>
    </w:p>
    <w:p w:rsidR="002162A3" w:rsidRPr="002D1564" w:rsidRDefault="009A7C3B" w:rsidP="002D1564">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в</w:t>
      </w:r>
      <w:r w:rsidR="006532B4" w:rsidRPr="002D1564">
        <w:rPr>
          <w:rFonts w:ascii="Times New Roman" w:hAnsi="Times New Roman" w:cs="Times New Roman"/>
          <w:sz w:val="28"/>
          <w:szCs w:val="28"/>
        </w:rPr>
        <w:t xml:space="preserve"> своем </w:t>
      </w:r>
      <w:r>
        <w:rPr>
          <w:rFonts w:ascii="Times New Roman" w:hAnsi="Times New Roman" w:cs="Times New Roman"/>
          <w:sz w:val="28"/>
          <w:szCs w:val="28"/>
        </w:rPr>
        <w:t>выступлении</w:t>
      </w:r>
      <w:r w:rsidR="00400031" w:rsidRPr="002D1564">
        <w:rPr>
          <w:rFonts w:ascii="Times New Roman" w:hAnsi="Times New Roman" w:cs="Times New Roman"/>
          <w:sz w:val="28"/>
          <w:szCs w:val="28"/>
        </w:rPr>
        <w:t xml:space="preserve"> хочу подробн</w:t>
      </w:r>
      <w:r w:rsidR="00864FF0" w:rsidRPr="002D1564">
        <w:rPr>
          <w:rFonts w:ascii="Times New Roman" w:hAnsi="Times New Roman" w:cs="Times New Roman"/>
          <w:sz w:val="28"/>
          <w:szCs w:val="28"/>
        </w:rPr>
        <w:t>о</w:t>
      </w:r>
      <w:r w:rsidR="00400031" w:rsidRPr="002D1564">
        <w:rPr>
          <w:rFonts w:ascii="Times New Roman" w:hAnsi="Times New Roman" w:cs="Times New Roman"/>
          <w:sz w:val="28"/>
          <w:szCs w:val="28"/>
        </w:rPr>
        <w:t xml:space="preserve"> остановиться на </w:t>
      </w:r>
      <w:r w:rsidR="002162A3" w:rsidRPr="002D1564">
        <w:rPr>
          <w:rFonts w:ascii="Times New Roman" w:hAnsi="Times New Roman" w:cs="Times New Roman"/>
          <w:sz w:val="28"/>
          <w:szCs w:val="28"/>
        </w:rPr>
        <w:t>вопросах формирования положительной правоприменительной практики по недопущению отступления от установленной законодательством о несостоятельности (банкротстве) очередности удовлетворения требований кредиторов по текущим обязательным платежам.</w:t>
      </w:r>
    </w:p>
    <w:p w:rsidR="002162A3" w:rsidRDefault="0017210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Текущими признаются обязательные платежи, возникшие после даты принятия заявления о признании должника банкротом. Такие платежи в силу пункта 1 статьи 134 Закона о банкротстве погашаются вне очереди за счет конкурсной массы преимущественно перед кредиторами, требования которых возникли до принятия заявления о признании должника банкротом и включены в реестр требований кредиторов.</w:t>
      </w:r>
    </w:p>
    <w:p w:rsidR="00A449FF" w:rsidRDefault="00A449FF" w:rsidP="00E46645">
      <w:pPr>
        <w:autoSpaceDE w:val="0"/>
        <w:autoSpaceDN w:val="0"/>
        <w:adjustRightInd w:val="0"/>
        <w:spacing w:after="0"/>
        <w:ind w:firstLine="708"/>
        <w:jc w:val="right"/>
        <w:rPr>
          <w:rFonts w:ascii="Times New Roman" w:hAnsi="Times New Roman" w:cs="Times New Roman"/>
          <w:b/>
          <w:sz w:val="28"/>
          <w:szCs w:val="28"/>
        </w:rPr>
      </w:pPr>
    </w:p>
    <w:p w:rsidR="00E46645" w:rsidRPr="00E46645" w:rsidRDefault="00E46645" w:rsidP="00E46645">
      <w:pPr>
        <w:autoSpaceDE w:val="0"/>
        <w:autoSpaceDN w:val="0"/>
        <w:adjustRightInd w:val="0"/>
        <w:spacing w:after="0"/>
        <w:ind w:firstLine="708"/>
        <w:jc w:val="right"/>
        <w:rPr>
          <w:rFonts w:ascii="Times New Roman" w:hAnsi="Times New Roman" w:cs="Times New Roman"/>
          <w:b/>
          <w:sz w:val="28"/>
          <w:szCs w:val="28"/>
          <w:u w:val="single"/>
        </w:rPr>
      </w:pPr>
      <w:r w:rsidRPr="00E46645">
        <w:rPr>
          <w:rFonts w:ascii="Times New Roman" w:hAnsi="Times New Roman" w:cs="Times New Roman"/>
          <w:b/>
          <w:sz w:val="28"/>
          <w:szCs w:val="28"/>
        </w:rPr>
        <w:t xml:space="preserve">Слайд № </w:t>
      </w:r>
      <w:r>
        <w:rPr>
          <w:rFonts w:ascii="Times New Roman" w:hAnsi="Times New Roman" w:cs="Times New Roman"/>
          <w:b/>
          <w:sz w:val="28"/>
          <w:szCs w:val="28"/>
        </w:rPr>
        <w:t>3</w:t>
      </w:r>
      <w:r w:rsidRPr="00E46645">
        <w:rPr>
          <w:rFonts w:ascii="Times New Roman" w:hAnsi="Times New Roman" w:cs="Times New Roman"/>
          <w:b/>
          <w:sz w:val="28"/>
          <w:szCs w:val="28"/>
        </w:rPr>
        <w:t>.</w:t>
      </w:r>
    </w:p>
    <w:p w:rsidR="00E46645" w:rsidRDefault="00CF6277" w:rsidP="00A449FF">
      <w:pPr>
        <w:spacing w:after="0"/>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2434E2">
            <wp:extent cx="4774684" cy="2686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863" cy="2686713"/>
                    </a:xfrm>
                    <a:prstGeom prst="rect">
                      <a:avLst/>
                    </a:prstGeom>
                    <a:noFill/>
                  </pic:spPr>
                </pic:pic>
              </a:graphicData>
            </a:graphic>
          </wp:inline>
        </w:drawing>
      </w:r>
    </w:p>
    <w:p w:rsidR="00A449FF" w:rsidRDefault="00A449FF" w:rsidP="002D1564">
      <w:pPr>
        <w:spacing w:after="0"/>
        <w:ind w:firstLine="709"/>
        <w:jc w:val="both"/>
        <w:rPr>
          <w:rFonts w:ascii="Times New Roman" w:hAnsi="Times New Roman" w:cs="Times New Roman"/>
          <w:sz w:val="28"/>
          <w:szCs w:val="28"/>
        </w:rPr>
      </w:pPr>
    </w:p>
    <w:p w:rsidR="002162A3" w:rsidRPr="002D1564" w:rsidRDefault="00172104" w:rsidP="002D1564">
      <w:pPr>
        <w:spacing w:after="0"/>
        <w:ind w:firstLine="709"/>
        <w:jc w:val="both"/>
        <w:rPr>
          <w:rFonts w:ascii="Times New Roman" w:hAnsi="Times New Roman" w:cs="Times New Roman"/>
          <w:sz w:val="28"/>
          <w:szCs w:val="28"/>
        </w:rPr>
      </w:pPr>
      <w:r w:rsidRPr="002D1564">
        <w:rPr>
          <w:rFonts w:ascii="Times New Roman" w:hAnsi="Times New Roman" w:cs="Times New Roman"/>
          <w:sz w:val="28"/>
          <w:szCs w:val="28"/>
        </w:rPr>
        <w:t>Пунктом 2 статьи 134 Закона о банкротстве четко регламентирована очередность удовлетворения требований кредиторов по текущим платежам.</w:t>
      </w:r>
    </w:p>
    <w:p w:rsidR="002162A3" w:rsidRPr="002D1564" w:rsidRDefault="0017210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так, в первую очередь удовлетворяются требования по текущим платежам, связанным с судебными расходами по делу о банкротстве, в том числе выплата вознаграждения арбитражному управляющему;</w:t>
      </w:r>
    </w:p>
    <w:p w:rsidR="00172104" w:rsidRPr="002D1564" w:rsidRDefault="0017210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D709B1" w:rsidRPr="00D709B1" w:rsidRDefault="00D709B1" w:rsidP="00D709B1">
      <w:pPr>
        <w:autoSpaceDE w:val="0"/>
        <w:autoSpaceDN w:val="0"/>
        <w:adjustRightInd w:val="0"/>
        <w:spacing w:after="0"/>
        <w:ind w:firstLine="708"/>
        <w:jc w:val="right"/>
        <w:rPr>
          <w:rFonts w:ascii="Times New Roman" w:hAnsi="Times New Roman" w:cs="Times New Roman"/>
          <w:b/>
          <w:sz w:val="28"/>
          <w:szCs w:val="28"/>
        </w:rPr>
      </w:pPr>
      <w:r w:rsidRPr="00D709B1">
        <w:rPr>
          <w:rFonts w:ascii="Times New Roman" w:hAnsi="Times New Roman" w:cs="Times New Roman"/>
          <w:b/>
          <w:sz w:val="28"/>
          <w:szCs w:val="28"/>
        </w:rPr>
        <w:lastRenderedPageBreak/>
        <w:t>Слайд № 4.</w:t>
      </w:r>
    </w:p>
    <w:p w:rsidR="00D709B1" w:rsidRDefault="00CF6277" w:rsidP="002D1564">
      <w:pPr>
        <w:autoSpaceDE w:val="0"/>
        <w:autoSpaceDN w:val="0"/>
        <w:adjustRightInd w:val="0"/>
        <w:spacing w:after="0"/>
        <w:ind w:firstLine="708"/>
        <w:jc w:val="both"/>
        <w:rPr>
          <w:rFonts w:ascii="Times New Roman" w:hAnsi="Times New Roman" w:cs="Times New Roman"/>
          <w:sz w:val="28"/>
          <w:szCs w:val="28"/>
        </w:rPr>
      </w:pPr>
      <w:r w:rsidRPr="00CF6277">
        <w:rPr>
          <w:rFonts w:ascii="Times New Roman" w:hAnsi="Times New Roman" w:cs="Times New Roman"/>
          <w:sz w:val="28"/>
          <w:szCs w:val="28"/>
        </w:rPr>
        <w:drawing>
          <wp:inline distT="0" distB="0" distL="0" distR="0" wp14:anchorId="69937008" wp14:editId="583DE3C8">
            <wp:extent cx="4848225" cy="27271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56532" cy="2731799"/>
                    </a:xfrm>
                    <a:prstGeom prst="rect">
                      <a:avLst/>
                    </a:prstGeom>
                  </pic:spPr>
                </pic:pic>
              </a:graphicData>
            </a:graphic>
          </wp:inline>
        </w:drawing>
      </w:r>
    </w:p>
    <w:p w:rsidR="00D709B1" w:rsidRDefault="00D709B1" w:rsidP="002D1564">
      <w:pPr>
        <w:autoSpaceDE w:val="0"/>
        <w:autoSpaceDN w:val="0"/>
        <w:adjustRightInd w:val="0"/>
        <w:spacing w:after="0"/>
        <w:ind w:firstLine="708"/>
        <w:jc w:val="both"/>
        <w:rPr>
          <w:rFonts w:ascii="Times New Roman" w:hAnsi="Times New Roman" w:cs="Times New Roman"/>
          <w:sz w:val="28"/>
          <w:szCs w:val="28"/>
        </w:rPr>
      </w:pPr>
    </w:p>
    <w:p w:rsidR="00172104" w:rsidRPr="002D1564" w:rsidRDefault="0017210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w:t>
      </w:r>
    </w:p>
    <w:p w:rsidR="00172104" w:rsidRPr="002D1564" w:rsidRDefault="0017210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в четвертую очередь удовлетворяются требования по эксплуатационным платежам (коммунальным платежам, платежам по договорам энергоснабжения и иным аналогичным платежам);</w:t>
      </w:r>
    </w:p>
    <w:p w:rsidR="00172104" w:rsidRPr="002D1564" w:rsidRDefault="0017210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в пятую очередь удовлетворяются требования по иным текущим платежам</w:t>
      </w:r>
      <w:r w:rsidR="00F641C3">
        <w:rPr>
          <w:rFonts w:ascii="Times New Roman" w:hAnsi="Times New Roman" w:cs="Times New Roman"/>
          <w:sz w:val="28"/>
          <w:szCs w:val="28"/>
        </w:rPr>
        <w:t>, куда входят и обязательные платежи</w:t>
      </w:r>
      <w:r w:rsidRPr="002D1564">
        <w:rPr>
          <w:rFonts w:ascii="Times New Roman" w:hAnsi="Times New Roman" w:cs="Times New Roman"/>
          <w:sz w:val="28"/>
          <w:szCs w:val="28"/>
        </w:rPr>
        <w:t>.</w:t>
      </w:r>
    </w:p>
    <w:p w:rsidR="00E46645" w:rsidRPr="002D1564" w:rsidRDefault="00E46645" w:rsidP="00E46645">
      <w:pPr>
        <w:autoSpaceDE w:val="0"/>
        <w:autoSpaceDN w:val="0"/>
        <w:adjustRightInd w:val="0"/>
        <w:spacing w:after="0"/>
        <w:ind w:firstLine="708"/>
        <w:jc w:val="both"/>
        <w:rPr>
          <w:rFonts w:ascii="Times New Roman" w:hAnsi="Times New Roman" w:cs="Times New Roman"/>
          <w:b/>
          <w:sz w:val="28"/>
          <w:szCs w:val="28"/>
          <w:u w:val="single"/>
        </w:rPr>
      </w:pPr>
      <w:r w:rsidRPr="002D1564">
        <w:rPr>
          <w:rFonts w:ascii="Times New Roman" w:hAnsi="Times New Roman" w:cs="Times New Roman"/>
          <w:sz w:val="28"/>
          <w:szCs w:val="28"/>
        </w:rPr>
        <w:t>При учете и погашении текущих платежей по НДФЛ, а также по страховым взносам на обязательное пенсионное страхование, необходимо учитывать, что указанные взносы в части основного долга также подлежат погашению в режиме второй очереди текущих платежей одновременно с выплатой заработной платы. Данная правовая позиция изложена в пунктах 8 и 14 Обзора судебной практики по вопросам, связанным с участием уполномоченного органа в делах о банкротстве и применяемых в этих делах процедурах банкротства, утвержденного Президиумом Верховного Суда Российской Федерации 20.12.2016</w:t>
      </w:r>
      <w:r w:rsidR="00A449FF">
        <w:rPr>
          <w:rFonts w:ascii="Times New Roman" w:hAnsi="Times New Roman" w:cs="Times New Roman"/>
          <w:sz w:val="28"/>
          <w:szCs w:val="28"/>
        </w:rPr>
        <w:t>.</w:t>
      </w:r>
    </w:p>
    <w:p w:rsidR="00A449FF" w:rsidRDefault="00A449FF" w:rsidP="00E46645">
      <w:pPr>
        <w:autoSpaceDE w:val="0"/>
        <w:autoSpaceDN w:val="0"/>
        <w:adjustRightInd w:val="0"/>
        <w:spacing w:after="0"/>
        <w:ind w:firstLine="708"/>
        <w:jc w:val="right"/>
        <w:rPr>
          <w:rFonts w:ascii="Times New Roman" w:hAnsi="Times New Roman" w:cs="Times New Roman"/>
          <w:b/>
          <w:sz w:val="28"/>
          <w:szCs w:val="28"/>
        </w:rPr>
      </w:pPr>
    </w:p>
    <w:p w:rsidR="00D709B1" w:rsidRDefault="00D709B1" w:rsidP="00E46645">
      <w:pPr>
        <w:autoSpaceDE w:val="0"/>
        <w:autoSpaceDN w:val="0"/>
        <w:adjustRightInd w:val="0"/>
        <w:spacing w:after="0"/>
        <w:ind w:firstLine="708"/>
        <w:jc w:val="right"/>
        <w:rPr>
          <w:rFonts w:ascii="Times New Roman" w:hAnsi="Times New Roman" w:cs="Times New Roman"/>
          <w:b/>
          <w:sz w:val="28"/>
          <w:szCs w:val="28"/>
        </w:rPr>
      </w:pPr>
    </w:p>
    <w:p w:rsidR="00D709B1" w:rsidRDefault="00D709B1" w:rsidP="00E46645">
      <w:pPr>
        <w:autoSpaceDE w:val="0"/>
        <w:autoSpaceDN w:val="0"/>
        <w:adjustRightInd w:val="0"/>
        <w:spacing w:after="0"/>
        <w:ind w:firstLine="708"/>
        <w:jc w:val="right"/>
        <w:rPr>
          <w:rFonts w:ascii="Times New Roman" w:hAnsi="Times New Roman" w:cs="Times New Roman"/>
          <w:b/>
          <w:sz w:val="28"/>
          <w:szCs w:val="28"/>
        </w:rPr>
      </w:pPr>
    </w:p>
    <w:p w:rsidR="00D709B1" w:rsidRDefault="00D709B1" w:rsidP="00E46645">
      <w:pPr>
        <w:autoSpaceDE w:val="0"/>
        <w:autoSpaceDN w:val="0"/>
        <w:adjustRightInd w:val="0"/>
        <w:spacing w:after="0"/>
        <w:ind w:firstLine="708"/>
        <w:jc w:val="right"/>
        <w:rPr>
          <w:rFonts w:ascii="Times New Roman" w:hAnsi="Times New Roman" w:cs="Times New Roman"/>
          <w:b/>
          <w:sz w:val="28"/>
          <w:szCs w:val="28"/>
        </w:rPr>
      </w:pPr>
    </w:p>
    <w:p w:rsidR="00D709B1" w:rsidRDefault="00D709B1" w:rsidP="00E46645">
      <w:pPr>
        <w:autoSpaceDE w:val="0"/>
        <w:autoSpaceDN w:val="0"/>
        <w:adjustRightInd w:val="0"/>
        <w:spacing w:after="0"/>
        <w:ind w:firstLine="708"/>
        <w:jc w:val="right"/>
        <w:rPr>
          <w:rFonts w:ascii="Times New Roman" w:hAnsi="Times New Roman" w:cs="Times New Roman"/>
          <w:b/>
          <w:sz w:val="28"/>
          <w:szCs w:val="28"/>
        </w:rPr>
      </w:pPr>
    </w:p>
    <w:p w:rsidR="00D709B1" w:rsidRDefault="00D709B1" w:rsidP="00E46645">
      <w:pPr>
        <w:autoSpaceDE w:val="0"/>
        <w:autoSpaceDN w:val="0"/>
        <w:adjustRightInd w:val="0"/>
        <w:spacing w:after="0"/>
        <w:ind w:firstLine="708"/>
        <w:jc w:val="right"/>
        <w:rPr>
          <w:rFonts w:ascii="Times New Roman" w:hAnsi="Times New Roman" w:cs="Times New Roman"/>
          <w:b/>
          <w:sz w:val="28"/>
          <w:szCs w:val="28"/>
        </w:rPr>
      </w:pPr>
    </w:p>
    <w:p w:rsidR="00E46645" w:rsidRPr="00E46645" w:rsidRDefault="00E46645" w:rsidP="00E46645">
      <w:pPr>
        <w:autoSpaceDE w:val="0"/>
        <w:autoSpaceDN w:val="0"/>
        <w:adjustRightInd w:val="0"/>
        <w:spacing w:after="0"/>
        <w:ind w:firstLine="708"/>
        <w:jc w:val="right"/>
        <w:rPr>
          <w:rFonts w:ascii="Times New Roman" w:hAnsi="Times New Roman" w:cs="Times New Roman"/>
          <w:b/>
          <w:sz w:val="28"/>
          <w:szCs w:val="28"/>
        </w:rPr>
      </w:pPr>
      <w:r w:rsidRPr="00E46645">
        <w:rPr>
          <w:rFonts w:ascii="Times New Roman" w:hAnsi="Times New Roman" w:cs="Times New Roman"/>
          <w:b/>
          <w:sz w:val="28"/>
          <w:szCs w:val="28"/>
        </w:rPr>
        <w:lastRenderedPageBreak/>
        <w:t xml:space="preserve">Слайд № </w:t>
      </w:r>
      <w:r w:rsidR="00D709B1">
        <w:rPr>
          <w:rFonts w:ascii="Times New Roman" w:hAnsi="Times New Roman" w:cs="Times New Roman"/>
          <w:b/>
          <w:sz w:val="28"/>
          <w:szCs w:val="28"/>
        </w:rPr>
        <w:t>5</w:t>
      </w:r>
      <w:r w:rsidRPr="00E46645">
        <w:rPr>
          <w:rFonts w:ascii="Times New Roman" w:hAnsi="Times New Roman" w:cs="Times New Roman"/>
          <w:b/>
          <w:sz w:val="28"/>
          <w:szCs w:val="28"/>
        </w:rPr>
        <w:t>.</w:t>
      </w:r>
    </w:p>
    <w:p w:rsidR="00E46645" w:rsidRDefault="00D709B1" w:rsidP="00E46645">
      <w:pPr>
        <w:autoSpaceDE w:val="0"/>
        <w:autoSpaceDN w:val="0"/>
        <w:adjustRightInd w:val="0"/>
        <w:spacing w:after="0"/>
        <w:ind w:firstLine="708"/>
        <w:jc w:val="center"/>
        <w:rPr>
          <w:rFonts w:ascii="Times New Roman" w:hAnsi="Times New Roman" w:cs="Times New Roman"/>
          <w:sz w:val="28"/>
          <w:szCs w:val="28"/>
        </w:rPr>
      </w:pPr>
      <w:r w:rsidRPr="00D709B1">
        <w:rPr>
          <w:rFonts w:ascii="Times New Roman" w:hAnsi="Times New Roman" w:cs="Times New Roman"/>
          <w:noProof/>
          <w:sz w:val="28"/>
          <w:szCs w:val="28"/>
        </w:rPr>
        <w:drawing>
          <wp:inline distT="0" distB="0" distL="0" distR="0" wp14:anchorId="6143DCEC" wp14:editId="037F45AB">
            <wp:extent cx="4572638" cy="257210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2572109"/>
                    </a:xfrm>
                    <a:prstGeom prst="rect">
                      <a:avLst/>
                    </a:prstGeom>
                  </pic:spPr>
                </pic:pic>
              </a:graphicData>
            </a:graphic>
          </wp:inline>
        </w:drawing>
      </w:r>
    </w:p>
    <w:p w:rsidR="00A449FF" w:rsidRDefault="00A449FF" w:rsidP="002D1564">
      <w:pPr>
        <w:autoSpaceDE w:val="0"/>
        <w:autoSpaceDN w:val="0"/>
        <w:adjustRightInd w:val="0"/>
        <w:spacing w:after="0"/>
        <w:ind w:firstLine="708"/>
        <w:jc w:val="both"/>
        <w:rPr>
          <w:rFonts w:ascii="Times New Roman" w:hAnsi="Times New Roman" w:cs="Times New Roman"/>
          <w:sz w:val="28"/>
          <w:szCs w:val="28"/>
        </w:rPr>
      </w:pPr>
    </w:p>
    <w:p w:rsidR="002162A3" w:rsidRPr="002D1564" w:rsidRDefault="00E46645" w:rsidP="002D1564">
      <w:pPr>
        <w:autoSpaceDE w:val="0"/>
        <w:autoSpaceDN w:val="0"/>
        <w:adjustRightInd w:val="0"/>
        <w:spacing w:after="0"/>
        <w:ind w:firstLine="708"/>
        <w:jc w:val="both"/>
        <w:rPr>
          <w:rFonts w:ascii="Times New Roman" w:hAnsi="Times New Roman" w:cs="Times New Roman"/>
          <w:b/>
          <w:sz w:val="28"/>
          <w:szCs w:val="28"/>
          <w:u w:val="single"/>
        </w:rPr>
      </w:pPr>
      <w:r>
        <w:rPr>
          <w:rFonts w:ascii="Times New Roman" w:hAnsi="Times New Roman" w:cs="Times New Roman"/>
          <w:sz w:val="28"/>
          <w:szCs w:val="28"/>
        </w:rPr>
        <w:t>По общему правилу т</w:t>
      </w:r>
      <w:r w:rsidR="00172104" w:rsidRPr="002D1564">
        <w:rPr>
          <w:rFonts w:ascii="Times New Roman" w:hAnsi="Times New Roman" w:cs="Times New Roman"/>
          <w:sz w:val="28"/>
          <w:szCs w:val="28"/>
        </w:rPr>
        <w:t>ребования кредиторов по текущим платежам, относящиеся к одной очереди, удовлетворяются в порядке календарной очередности.</w:t>
      </w:r>
    </w:p>
    <w:p w:rsidR="0027313D" w:rsidRPr="002D1564" w:rsidRDefault="0027313D" w:rsidP="002D1564">
      <w:pPr>
        <w:spacing w:after="0"/>
        <w:ind w:firstLine="709"/>
        <w:jc w:val="both"/>
        <w:rPr>
          <w:rFonts w:ascii="Times New Roman" w:hAnsi="Times New Roman" w:cs="Times New Roman"/>
          <w:sz w:val="28"/>
          <w:szCs w:val="28"/>
        </w:rPr>
      </w:pPr>
      <w:r w:rsidRPr="002D1564">
        <w:rPr>
          <w:rFonts w:ascii="Times New Roman" w:hAnsi="Times New Roman" w:cs="Times New Roman"/>
          <w:sz w:val="28"/>
          <w:szCs w:val="28"/>
        </w:rPr>
        <w:t xml:space="preserve">Вместе с тем, арбитражные управляющие должников в процедурах банкротства нередко </w:t>
      </w:r>
      <w:r w:rsidR="00324C36" w:rsidRPr="002D1564">
        <w:rPr>
          <w:rFonts w:ascii="Times New Roman" w:hAnsi="Times New Roman" w:cs="Times New Roman"/>
          <w:sz w:val="28"/>
          <w:szCs w:val="28"/>
        </w:rPr>
        <w:t xml:space="preserve">реализуют свое право на </w:t>
      </w:r>
      <w:r w:rsidRPr="002D1564">
        <w:rPr>
          <w:rFonts w:ascii="Times New Roman" w:hAnsi="Times New Roman" w:cs="Times New Roman"/>
          <w:sz w:val="28"/>
          <w:szCs w:val="28"/>
        </w:rPr>
        <w:t>обращ</w:t>
      </w:r>
      <w:r w:rsidR="00324C36" w:rsidRPr="002D1564">
        <w:rPr>
          <w:rFonts w:ascii="Times New Roman" w:hAnsi="Times New Roman" w:cs="Times New Roman"/>
          <w:sz w:val="28"/>
          <w:szCs w:val="28"/>
        </w:rPr>
        <w:t>ение</w:t>
      </w:r>
      <w:r w:rsidRPr="002D1564">
        <w:rPr>
          <w:rFonts w:ascii="Times New Roman" w:hAnsi="Times New Roman" w:cs="Times New Roman"/>
          <w:sz w:val="28"/>
          <w:szCs w:val="28"/>
        </w:rPr>
        <w:t xml:space="preserve"> в арбитражный суд с ходатайством об изменении календарной </w:t>
      </w:r>
      <w:proofErr w:type="gramStart"/>
      <w:r w:rsidRPr="002D1564">
        <w:rPr>
          <w:rFonts w:ascii="Times New Roman" w:hAnsi="Times New Roman" w:cs="Times New Roman"/>
          <w:sz w:val="28"/>
          <w:szCs w:val="28"/>
        </w:rPr>
        <w:t>очередности погашения текущих требований кредиторов должника</w:t>
      </w:r>
      <w:proofErr w:type="gramEnd"/>
      <w:r w:rsidRPr="002D1564">
        <w:rPr>
          <w:rFonts w:ascii="Times New Roman" w:hAnsi="Times New Roman" w:cs="Times New Roman"/>
          <w:sz w:val="28"/>
          <w:szCs w:val="28"/>
        </w:rPr>
        <w:t xml:space="preserve">. </w:t>
      </w:r>
    </w:p>
    <w:p w:rsidR="0027313D" w:rsidRPr="002D1564" w:rsidRDefault="0027313D"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Так, в абзаце третьем пункта 40.1 постановления Пленума Высшего</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Арбитражного Суда Российской Федерации от 23.07.2009 № 60 разъяснено, что суд вправе признать законным отступление</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 xml:space="preserve">управляющим от очередности, предусмотренной </w:t>
      </w:r>
      <w:r w:rsidR="00324C36" w:rsidRPr="002D1564">
        <w:rPr>
          <w:rFonts w:ascii="Times New Roman" w:hAnsi="Times New Roman" w:cs="Times New Roman"/>
          <w:sz w:val="28"/>
          <w:szCs w:val="28"/>
        </w:rPr>
        <w:t>пунктом</w:t>
      </w:r>
      <w:r w:rsidRPr="002D1564">
        <w:rPr>
          <w:rFonts w:ascii="Times New Roman" w:hAnsi="Times New Roman" w:cs="Times New Roman"/>
          <w:sz w:val="28"/>
          <w:szCs w:val="28"/>
        </w:rPr>
        <w:t xml:space="preserve"> 2 статьи 134 Закона о</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банкротстве, если это необходимо исходя из целей соответствующей процедуры</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банкротства, в том числе для недопущения гибели или порчи имущества</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 xml:space="preserve">должника либо предотвращения увольнения работников должника </w:t>
      </w:r>
      <w:proofErr w:type="gramStart"/>
      <w:r w:rsidRPr="002D1564">
        <w:rPr>
          <w:rFonts w:ascii="Times New Roman" w:hAnsi="Times New Roman" w:cs="Times New Roman"/>
          <w:sz w:val="28"/>
          <w:szCs w:val="28"/>
        </w:rPr>
        <w:t>по</w:t>
      </w:r>
      <w:proofErr w:type="gramEnd"/>
      <w:r w:rsidRPr="002D1564">
        <w:rPr>
          <w:rFonts w:ascii="Times New Roman" w:hAnsi="Times New Roman" w:cs="Times New Roman"/>
          <w:sz w:val="28"/>
          <w:szCs w:val="28"/>
        </w:rPr>
        <w:t xml:space="preserve"> </w:t>
      </w:r>
      <w:proofErr w:type="gramStart"/>
      <w:r w:rsidRPr="002D1564">
        <w:rPr>
          <w:rFonts w:ascii="Times New Roman" w:hAnsi="Times New Roman" w:cs="Times New Roman"/>
          <w:sz w:val="28"/>
          <w:szCs w:val="28"/>
        </w:rPr>
        <w:t>их</w:t>
      </w:r>
      <w:proofErr w:type="gramEnd"/>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инициативе.</w:t>
      </w:r>
    </w:p>
    <w:p w:rsidR="002162A3" w:rsidRPr="002D1564" w:rsidRDefault="0027313D" w:rsidP="002D1564">
      <w:pPr>
        <w:autoSpaceDE w:val="0"/>
        <w:autoSpaceDN w:val="0"/>
        <w:adjustRightInd w:val="0"/>
        <w:spacing w:after="0"/>
        <w:ind w:firstLine="708"/>
        <w:jc w:val="both"/>
        <w:rPr>
          <w:rFonts w:ascii="Times New Roman" w:hAnsi="Times New Roman" w:cs="Times New Roman"/>
          <w:b/>
          <w:sz w:val="28"/>
          <w:szCs w:val="28"/>
          <w:u w:val="single"/>
        </w:rPr>
      </w:pPr>
      <w:r w:rsidRPr="002D1564">
        <w:rPr>
          <w:rFonts w:ascii="Times New Roman" w:hAnsi="Times New Roman" w:cs="Times New Roman"/>
          <w:sz w:val="28"/>
          <w:szCs w:val="28"/>
        </w:rPr>
        <w:t>При этом по смыслу приведенных разъяснений управляющий должен</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доказать наличие экстраординарных оснований для отступления от</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установленной законом очередности удовлетворения требований кредиторов по</w:t>
      </w:r>
      <w:r w:rsidR="00324C36" w:rsidRPr="002D1564">
        <w:rPr>
          <w:rFonts w:ascii="Times New Roman" w:hAnsi="Times New Roman" w:cs="Times New Roman"/>
          <w:sz w:val="28"/>
          <w:szCs w:val="28"/>
        </w:rPr>
        <w:t xml:space="preserve"> </w:t>
      </w:r>
      <w:r w:rsidRPr="002D1564">
        <w:rPr>
          <w:rFonts w:ascii="Times New Roman" w:hAnsi="Times New Roman" w:cs="Times New Roman"/>
          <w:sz w:val="28"/>
          <w:szCs w:val="28"/>
        </w:rPr>
        <w:t>текущим обязательствам</w:t>
      </w:r>
      <w:r w:rsidR="00324C36" w:rsidRPr="002D1564">
        <w:rPr>
          <w:rFonts w:ascii="Times New Roman" w:hAnsi="Times New Roman" w:cs="Times New Roman"/>
          <w:sz w:val="28"/>
          <w:szCs w:val="28"/>
        </w:rPr>
        <w:t>. Данная позиция также подтверждается определением Верховного Суда Российской Федерации от 18.09.2017 № 309-ЭС17-12186.</w:t>
      </w:r>
    </w:p>
    <w:p w:rsidR="00F84DE2" w:rsidRPr="002D1564" w:rsidRDefault="00F84DE2"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В этой связи одной из важнейших задач уполномоченного органа при сопровождении процедур банкротства является недопущение отступления от календарной очередности удовлетворения требований по текущим обязательствам должника</w:t>
      </w:r>
      <w:r w:rsidR="00025754">
        <w:rPr>
          <w:rFonts w:ascii="Times New Roman" w:hAnsi="Times New Roman" w:cs="Times New Roman"/>
          <w:sz w:val="28"/>
          <w:szCs w:val="28"/>
        </w:rPr>
        <w:t xml:space="preserve"> при отсутствии для этого объективных оснований.</w:t>
      </w:r>
      <w:r w:rsidRPr="002D1564">
        <w:rPr>
          <w:rFonts w:ascii="Times New Roman" w:hAnsi="Times New Roman" w:cs="Times New Roman"/>
          <w:sz w:val="28"/>
          <w:szCs w:val="28"/>
        </w:rPr>
        <w:t xml:space="preserve"> </w:t>
      </w:r>
      <w:r w:rsidR="00025754">
        <w:rPr>
          <w:rFonts w:ascii="Times New Roman" w:hAnsi="Times New Roman" w:cs="Times New Roman"/>
          <w:sz w:val="28"/>
          <w:szCs w:val="28"/>
        </w:rPr>
        <w:t xml:space="preserve">Решение данной задачи необходимо, </w:t>
      </w:r>
      <w:r w:rsidRPr="002D1564">
        <w:rPr>
          <w:rFonts w:ascii="Times New Roman" w:hAnsi="Times New Roman" w:cs="Times New Roman"/>
          <w:sz w:val="28"/>
          <w:szCs w:val="28"/>
        </w:rPr>
        <w:t xml:space="preserve">поскольку в условиях недостаточности </w:t>
      </w:r>
      <w:r w:rsidRPr="002D1564">
        <w:rPr>
          <w:rFonts w:ascii="Times New Roman" w:hAnsi="Times New Roman" w:cs="Times New Roman"/>
          <w:sz w:val="28"/>
          <w:szCs w:val="28"/>
        </w:rPr>
        <w:lastRenderedPageBreak/>
        <w:t xml:space="preserve">имущества и денежных средств у организации-банкрота выплата текущих платежей каким либо иным кредиторам приоритетно перед требованиями уполномоченного органа может означать в дальнейшем невозможность обеспечения поступления текущих платежей в бюджет. </w:t>
      </w:r>
    </w:p>
    <w:p w:rsidR="00F84DE2"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Особо отмечу, что Управлением в 2018 году сформирована положительная правоприменительная практика в данном направлении.</w:t>
      </w:r>
    </w:p>
    <w:p w:rsidR="00A449FF" w:rsidRDefault="00A449FF" w:rsidP="00E46645">
      <w:pPr>
        <w:autoSpaceDE w:val="0"/>
        <w:autoSpaceDN w:val="0"/>
        <w:adjustRightInd w:val="0"/>
        <w:spacing w:after="0"/>
        <w:ind w:firstLine="708"/>
        <w:jc w:val="right"/>
        <w:rPr>
          <w:rFonts w:ascii="Times New Roman" w:hAnsi="Times New Roman" w:cs="Times New Roman"/>
          <w:b/>
          <w:sz w:val="28"/>
          <w:szCs w:val="28"/>
        </w:rPr>
      </w:pPr>
    </w:p>
    <w:p w:rsidR="00E46645" w:rsidRDefault="00E46645" w:rsidP="00E46645">
      <w:pPr>
        <w:autoSpaceDE w:val="0"/>
        <w:autoSpaceDN w:val="0"/>
        <w:adjustRightInd w:val="0"/>
        <w:spacing w:after="0"/>
        <w:ind w:firstLine="708"/>
        <w:jc w:val="right"/>
        <w:rPr>
          <w:rFonts w:ascii="Times New Roman" w:hAnsi="Times New Roman" w:cs="Times New Roman"/>
          <w:b/>
          <w:sz w:val="28"/>
          <w:szCs w:val="28"/>
        </w:rPr>
      </w:pPr>
      <w:r w:rsidRPr="00E46645">
        <w:rPr>
          <w:rFonts w:ascii="Times New Roman" w:hAnsi="Times New Roman" w:cs="Times New Roman"/>
          <w:b/>
          <w:sz w:val="28"/>
          <w:szCs w:val="28"/>
        </w:rPr>
        <w:t xml:space="preserve">Слайд № </w:t>
      </w:r>
      <w:r w:rsidR="00D709B1">
        <w:rPr>
          <w:rFonts w:ascii="Times New Roman" w:hAnsi="Times New Roman" w:cs="Times New Roman"/>
          <w:b/>
          <w:sz w:val="28"/>
          <w:szCs w:val="28"/>
        </w:rPr>
        <w:t>6</w:t>
      </w:r>
      <w:r w:rsidRPr="00E46645">
        <w:rPr>
          <w:rFonts w:ascii="Times New Roman" w:hAnsi="Times New Roman" w:cs="Times New Roman"/>
          <w:b/>
          <w:sz w:val="28"/>
          <w:szCs w:val="28"/>
        </w:rPr>
        <w:t>.</w:t>
      </w:r>
    </w:p>
    <w:p w:rsidR="00E46645" w:rsidRPr="00E46645" w:rsidRDefault="009F1AFF" w:rsidP="00E46645">
      <w:pPr>
        <w:autoSpaceDE w:val="0"/>
        <w:autoSpaceDN w:val="0"/>
        <w:adjustRightInd w:val="0"/>
        <w:spacing w:after="0"/>
        <w:ind w:firstLine="708"/>
        <w:jc w:val="center"/>
        <w:rPr>
          <w:rFonts w:ascii="Times New Roman" w:hAnsi="Times New Roman" w:cs="Times New Roman"/>
          <w:b/>
          <w:sz w:val="28"/>
          <w:szCs w:val="28"/>
        </w:rPr>
      </w:pPr>
      <w:r w:rsidRPr="009F1AFF">
        <w:rPr>
          <w:rFonts w:ascii="Times New Roman" w:hAnsi="Times New Roman" w:cs="Times New Roman"/>
          <w:b/>
          <w:noProof/>
          <w:sz w:val="28"/>
          <w:szCs w:val="28"/>
        </w:rPr>
        <w:drawing>
          <wp:inline distT="0" distB="0" distL="0" distR="0" wp14:anchorId="450E5DD7" wp14:editId="5332EB94">
            <wp:extent cx="4572638" cy="257210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2572109"/>
                    </a:xfrm>
                    <a:prstGeom prst="rect">
                      <a:avLst/>
                    </a:prstGeom>
                  </pic:spPr>
                </pic:pic>
              </a:graphicData>
            </a:graphic>
          </wp:inline>
        </w:drawing>
      </w:r>
    </w:p>
    <w:p w:rsidR="00A449FF" w:rsidRDefault="00A449FF" w:rsidP="002D1564">
      <w:pPr>
        <w:autoSpaceDE w:val="0"/>
        <w:autoSpaceDN w:val="0"/>
        <w:adjustRightInd w:val="0"/>
        <w:spacing w:after="0"/>
        <w:ind w:firstLine="708"/>
        <w:jc w:val="both"/>
        <w:rPr>
          <w:rFonts w:ascii="Times New Roman" w:hAnsi="Times New Roman" w:cs="Times New Roman"/>
          <w:sz w:val="28"/>
          <w:szCs w:val="28"/>
        </w:rPr>
      </w:pPr>
    </w:p>
    <w:p w:rsidR="00025754" w:rsidRDefault="00B1383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Так, судом первой инстанции удовлетворено заявление конкурсного управляющего ООО «</w:t>
      </w:r>
      <w:proofErr w:type="spellStart"/>
      <w:r w:rsidRPr="002D1564">
        <w:rPr>
          <w:rFonts w:ascii="Times New Roman" w:hAnsi="Times New Roman" w:cs="Times New Roman"/>
          <w:sz w:val="28"/>
          <w:szCs w:val="28"/>
        </w:rPr>
        <w:t>Серпуховский</w:t>
      </w:r>
      <w:proofErr w:type="spellEnd"/>
      <w:r w:rsidRPr="002D1564">
        <w:rPr>
          <w:rFonts w:ascii="Times New Roman" w:hAnsi="Times New Roman" w:cs="Times New Roman"/>
          <w:sz w:val="28"/>
          <w:szCs w:val="28"/>
        </w:rPr>
        <w:t xml:space="preserve"> лифтостроительный завод» об изменении календарной </w:t>
      </w:r>
      <w:proofErr w:type="gramStart"/>
      <w:r w:rsidRPr="002D1564">
        <w:rPr>
          <w:rFonts w:ascii="Times New Roman" w:hAnsi="Times New Roman" w:cs="Times New Roman"/>
          <w:sz w:val="28"/>
          <w:szCs w:val="28"/>
        </w:rPr>
        <w:t>очередности погашения текущих требований кредиторов должника</w:t>
      </w:r>
      <w:proofErr w:type="gramEnd"/>
      <w:r w:rsidRPr="002D1564">
        <w:rPr>
          <w:rFonts w:ascii="Times New Roman" w:hAnsi="Times New Roman" w:cs="Times New Roman"/>
          <w:sz w:val="28"/>
          <w:szCs w:val="28"/>
        </w:rPr>
        <w:t xml:space="preserve">. </w:t>
      </w:r>
    </w:p>
    <w:p w:rsidR="00025754" w:rsidRPr="00025754" w:rsidRDefault="00025754" w:rsidP="00025754">
      <w:pPr>
        <w:autoSpaceDE w:val="0"/>
        <w:autoSpaceDN w:val="0"/>
        <w:adjustRightInd w:val="0"/>
        <w:spacing w:after="0"/>
        <w:ind w:firstLine="709"/>
        <w:jc w:val="both"/>
        <w:rPr>
          <w:rFonts w:ascii="Times New Roman" w:hAnsi="Times New Roman" w:cs="Times New Roman"/>
          <w:sz w:val="28"/>
          <w:szCs w:val="28"/>
        </w:rPr>
      </w:pPr>
      <w:r w:rsidRPr="00025754">
        <w:rPr>
          <w:rFonts w:ascii="Times New Roman" w:hAnsi="Times New Roman" w:cs="Times New Roman"/>
          <w:sz w:val="28"/>
          <w:szCs w:val="28"/>
        </w:rPr>
        <w:t>В обоснование заявления конкурсный управляющий должника указал, что в</w:t>
      </w:r>
      <w:r>
        <w:rPr>
          <w:rFonts w:ascii="Times New Roman" w:hAnsi="Times New Roman" w:cs="Times New Roman"/>
          <w:sz w:val="28"/>
          <w:szCs w:val="28"/>
        </w:rPr>
        <w:t xml:space="preserve"> </w:t>
      </w:r>
      <w:r w:rsidRPr="00025754">
        <w:rPr>
          <w:rFonts w:ascii="Times New Roman" w:hAnsi="Times New Roman" w:cs="Times New Roman"/>
          <w:sz w:val="28"/>
          <w:szCs w:val="28"/>
        </w:rPr>
        <w:t>ходе процедуры конкурсного производства установлено наличие задолженности</w:t>
      </w:r>
      <w:r>
        <w:rPr>
          <w:rFonts w:ascii="Times New Roman" w:hAnsi="Times New Roman" w:cs="Times New Roman"/>
          <w:sz w:val="28"/>
          <w:szCs w:val="28"/>
        </w:rPr>
        <w:t xml:space="preserve"> </w:t>
      </w:r>
      <w:r w:rsidRPr="00025754">
        <w:rPr>
          <w:rFonts w:ascii="Times New Roman" w:hAnsi="Times New Roman" w:cs="Times New Roman"/>
          <w:sz w:val="28"/>
          <w:szCs w:val="28"/>
        </w:rPr>
        <w:t>должника по заработной плате перед работниками должника, а также</w:t>
      </w:r>
      <w:r>
        <w:rPr>
          <w:rFonts w:ascii="Times New Roman" w:hAnsi="Times New Roman" w:cs="Times New Roman"/>
          <w:sz w:val="28"/>
          <w:szCs w:val="28"/>
        </w:rPr>
        <w:t xml:space="preserve"> </w:t>
      </w:r>
      <w:r w:rsidRPr="00025754">
        <w:rPr>
          <w:rFonts w:ascii="Times New Roman" w:hAnsi="Times New Roman" w:cs="Times New Roman"/>
          <w:sz w:val="28"/>
          <w:szCs w:val="28"/>
        </w:rPr>
        <w:t>задолженности по уплате налога на доходы физических лиц и взносов на</w:t>
      </w:r>
      <w:r>
        <w:rPr>
          <w:rFonts w:ascii="Times New Roman" w:hAnsi="Times New Roman" w:cs="Times New Roman"/>
          <w:sz w:val="28"/>
          <w:szCs w:val="28"/>
        </w:rPr>
        <w:t xml:space="preserve"> </w:t>
      </w:r>
      <w:r w:rsidRPr="00025754">
        <w:rPr>
          <w:rFonts w:ascii="Times New Roman" w:hAnsi="Times New Roman" w:cs="Times New Roman"/>
          <w:sz w:val="28"/>
          <w:szCs w:val="28"/>
        </w:rPr>
        <w:t>обязательное пенсионное страхование.</w:t>
      </w:r>
    </w:p>
    <w:p w:rsidR="00025754" w:rsidRPr="00025754" w:rsidRDefault="00025754" w:rsidP="00025754">
      <w:pPr>
        <w:autoSpaceDE w:val="0"/>
        <w:autoSpaceDN w:val="0"/>
        <w:adjustRightInd w:val="0"/>
        <w:spacing w:after="0"/>
        <w:ind w:firstLine="709"/>
        <w:jc w:val="both"/>
        <w:rPr>
          <w:rFonts w:ascii="Times New Roman" w:hAnsi="Times New Roman" w:cs="Times New Roman"/>
          <w:sz w:val="28"/>
          <w:szCs w:val="28"/>
        </w:rPr>
      </w:pPr>
      <w:r w:rsidRPr="00025754">
        <w:rPr>
          <w:rFonts w:ascii="Times New Roman" w:hAnsi="Times New Roman" w:cs="Times New Roman"/>
          <w:sz w:val="28"/>
          <w:szCs w:val="28"/>
        </w:rPr>
        <w:t>В связи с недостаточностью денежных сре</w:t>
      </w:r>
      <w:proofErr w:type="gramStart"/>
      <w:r w:rsidRPr="00025754">
        <w:rPr>
          <w:rFonts w:ascii="Times New Roman" w:hAnsi="Times New Roman" w:cs="Times New Roman"/>
          <w:sz w:val="28"/>
          <w:szCs w:val="28"/>
        </w:rPr>
        <w:t>дств дл</w:t>
      </w:r>
      <w:proofErr w:type="gramEnd"/>
      <w:r w:rsidRPr="00025754">
        <w:rPr>
          <w:rFonts w:ascii="Times New Roman" w:hAnsi="Times New Roman" w:cs="Times New Roman"/>
          <w:sz w:val="28"/>
          <w:szCs w:val="28"/>
        </w:rPr>
        <w:t>я погашения всех</w:t>
      </w:r>
      <w:r>
        <w:rPr>
          <w:rFonts w:ascii="Times New Roman" w:hAnsi="Times New Roman" w:cs="Times New Roman"/>
          <w:sz w:val="28"/>
          <w:szCs w:val="28"/>
        </w:rPr>
        <w:t xml:space="preserve"> </w:t>
      </w:r>
      <w:r w:rsidRPr="00025754">
        <w:rPr>
          <w:rFonts w:ascii="Times New Roman" w:hAnsi="Times New Roman" w:cs="Times New Roman"/>
          <w:sz w:val="28"/>
          <w:szCs w:val="28"/>
        </w:rPr>
        <w:t>текущих платежей при одновременной оплате заработной платы и иных</w:t>
      </w:r>
      <w:r>
        <w:rPr>
          <w:rFonts w:ascii="Times New Roman" w:hAnsi="Times New Roman" w:cs="Times New Roman"/>
          <w:sz w:val="28"/>
          <w:szCs w:val="28"/>
        </w:rPr>
        <w:t xml:space="preserve"> </w:t>
      </w:r>
      <w:r w:rsidRPr="00025754">
        <w:rPr>
          <w:rFonts w:ascii="Times New Roman" w:hAnsi="Times New Roman" w:cs="Times New Roman"/>
          <w:sz w:val="28"/>
          <w:szCs w:val="28"/>
        </w:rPr>
        <w:t>платежей той же очереди, а именно - НДФЛ и взносов на обязательное пенсионное</w:t>
      </w:r>
      <w:r>
        <w:rPr>
          <w:rFonts w:ascii="Times New Roman" w:hAnsi="Times New Roman" w:cs="Times New Roman"/>
          <w:sz w:val="28"/>
          <w:szCs w:val="28"/>
        </w:rPr>
        <w:t xml:space="preserve"> </w:t>
      </w:r>
      <w:r w:rsidRPr="00025754">
        <w:rPr>
          <w:rFonts w:ascii="Times New Roman" w:hAnsi="Times New Roman" w:cs="Times New Roman"/>
          <w:sz w:val="28"/>
          <w:szCs w:val="28"/>
        </w:rPr>
        <w:t>страхование, срок погашения заработной платы увеличится практически вдвое, что, по мнению управляющего, усилит социальную напряженность.</w:t>
      </w:r>
    </w:p>
    <w:p w:rsidR="00B13834"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proofErr w:type="gramStart"/>
      <w:r w:rsidRPr="002D1564">
        <w:rPr>
          <w:rFonts w:ascii="Times New Roman" w:hAnsi="Times New Roman" w:cs="Times New Roman"/>
          <w:sz w:val="28"/>
          <w:szCs w:val="28"/>
        </w:rPr>
        <w:t xml:space="preserve">Суд определил установить, что требования уполномоченного органа к ООО «СЛЗ» об уплате страховых взносов на обязательное пенсионное страхование и налога на доходы физических лиц, возникшие после возбуждения дела о банкротстве должника, подлежат погашению во вторую </w:t>
      </w:r>
      <w:r w:rsidRPr="002D1564">
        <w:rPr>
          <w:rFonts w:ascii="Times New Roman" w:hAnsi="Times New Roman" w:cs="Times New Roman"/>
          <w:sz w:val="28"/>
          <w:szCs w:val="28"/>
        </w:rPr>
        <w:lastRenderedPageBreak/>
        <w:t>очередь удовлетворения требований кредиторов по текущим платежам после полного погашения текущих требований об оплате труда лиц, работающих или работавших (после даты принятия заявления о признании</w:t>
      </w:r>
      <w:proofErr w:type="gramEnd"/>
      <w:r w:rsidRPr="002D1564">
        <w:rPr>
          <w:rFonts w:ascii="Times New Roman" w:hAnsi="Times New Roman" w:cs="Times New Roman"/>
          <w:sz w:val="28"/>
          <w:szCs w:val="28"/>
        </w:rPr>
        <w:t xml:space="preserve"> должника банкротом) по трудовому договору, требований о выплате выходных пособий в общей сумме свыше 46 млн. руб.</w:t>
      </w:r>
    </w:p>
    <w:p w:rsidR="00B13834" w:rsidRPr="002D1564" w:rsidRDefault="00B13834" w:rsidP="002D1564">
      <w:pPr>
        <w:spacing w:after="0"/>
        <w:ind w:firstLine="708"/>
        <w:contextualSpacing/>
        <w:jc w:val="both"/>
        <w:rPr>
          <w:rFonts w:ascii="Times New Roman" w:hAnsi="Times New Roman" w:cs="Times New Roman"/>
          <w:sz w:val="28"/>
          <w:szCs w:val="28"/>
        </w:rPr>
      </w:pPr>
      <w:r w:rsidRPr="002D1564">
        <w:rPr>
          <w:rFonts w:ascii="Times New Roman" w:hAnsi="Times New Roman" w:cs="Times New Roman"/>
          <w:sz w:val="28"/>
          <w:szCs w:val="28"/>
        </w:rPr>
        <w:t>В суде апелляционной инстанции уполномоченному органу благодаря качественному формированию правовой позиции удалось добиться отмены судебного акта первой инстанции и, как следствие, восстановления нарушенной очередности удовлетворения требований по текущим обязательным платежам. Указанное решение суда апелляционной инстанции было оставлено в силе постановлением Арбитражного суда Московского округа от 06.09.2018.</w:t>
      </w:r>
    </w:p>
    <w:p w:rsidR="00B13834"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proofErr w:type="gramStart"/>
      <w:r w:rsidRPr="002D1564">
        <w:rPr>
          <w:rFonts w:ascii="Times New Roman" w:hAnsi="Times New Roman" w:cs="Times New Roman"/>
          <w:sz w:val="28"/>
          <w:szCs w:val="28"/>
        </w:rPr>
        <w:t>Суды апелляционной и кассационной инстанций в судебных актах признали доводы уполномоченного органа обоснованными и пришли к выводам, что с учетом правовой позиции, содержащейся в пункте 18 Обзора Верховного Суда Российской Федерации от 20.12.2016, а также требований статьи 65 Арбитражного процессуального кодекса Российской Федерации отступление арбитражным управляющим от очередности исполнения текущих обязательств, предусмотренной Законом о банкротстве, может быть признано обоснованным в</w:t>
      </w:r>
      <w:proofErr w:type="gramEnd"/>
      <w:r w:rsidRPr="002D1564">
        <w:rPr>
          <w:rFonts w:ascii="Times New Roman" w:hAnsi="Times New Roman" w:cs="Times New Roman"/>
          <w:sz w:val="28"/>
          <w:szCs w:val="28"/>
        </w:rPr>
        <w:t xml:space="preserve"> </w:t>
      </w:r>
      <w:proofErr w:type="gramStart"/>
      <w:r w:rsidRPr="002D1564">
        <w:rPr>
          <w:rFonts w:ascii="Times New Roman" w:hAnsi="Times New Roman" w:cs="Times New Roman"/>
          <w:sz w:val="28"/>
          <w:szCs w:val="28"/>
        </w:rPr>
        <w:t>случае</w:t>
      </w:r>
      <w:proofErr w:type="gramEnd"/>
      <w:r w:rsidRPr="002D1564">
        <w:rPr>
          <w:rFonts w:ascii="Times New Roman" w:hAnsi="Times New Roman" w:cs="Times New Roman"/>
          <w:sz w:val="28"/>
          <w:szCs w:val="28"/>
        </w:rPr>
        <w:t xml:space="preserve"> представления должником достаточных доказательств того, что:</w:t>
      </w:r>
    </w:p>
    <w:p w:rsidR="00B13834"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необходимость отступления от очередности обусловлена исключительными обстоятельствами рассматриваемого дела о банкротстве (в случае не отступления от очередности возникает вероятность техногенной и (или) экологической катастрофы, прекращения эксплуатации объектов, используемых для обеспечения социально значимых объектов, необходимых для жизнеобеспечения граждан, и т.п.) и (или) неразрывно связана с обеспечением сохранности имущества должника;</w:t>
      </w:r>
    </w:p>
    <w:p w:rsidR="00B13834"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отступление от очередности в данном исключительном случае носит временный характер и обусловлено отсутствием необходимого размера денежных сре</w:t>
      </w:r>
      <w:proofErr w:type="gramStart"/>
      <w:r w:rsidRPr="002D1564">
        <w:rPr>
          <w:rFonts w:ascii="Times New Roman" w:hAnsi="Times New Roman" w:cs="Times New Roman"/>
          <w:sz w:val="28"/>
          <w:szCs w:val="28"/>
        </w:rPr>
        <w:t>дств дл</w:t>
      </w:r>
      <w:proofErr w:type="gramEnd"/>
      <w:r w:rsidRPr="002D1564">
        <w:rPr>
          <w:rFonts w:ascii="Times New Roman" w:hAnsi="Times New Roman" w:cs="Times New Roman"/>
          <w:sz w:val="28"/>
          <w:szCs w:val="28"/>
        </w:rPr>
        <w:t>я исполнения обязанностей в календарной очередности, а также отсутствием вероятности поступления денежных средств в конкурсную массу в предстоящий период, в течение которого арбитражным управляющим предлагается отступить от установленной очередности. При этом временные рамки и длительность периода, на который необходимо отступление от очередности, рассчитаны и доказательно обоснованы;</w:t>
      </w:r>
    </w:p>
    <w:p w:rsidR="00B13834"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r w:rsidRPr="002D1564">
        <w:rPr>
          <w:rFonts w:ascii="Times New Roman" w:hAnsi="Times New Roman" w:cs="Times New Roman"/>
          <w:sz w:val="28"/>
          <w:szCs w:val="28"/>
        </w:rPr>
        <w:t>- имеется возможно</w:t>
      </w:r>
      <w:r w:rsidR="009E0ED9">
        <w:rPr>
          <w:rFonts w:ascii="Times New Roman" w:hAnsi="Times New Roman" w:cs="Times New Roman"/>
          <w:sz w:val="28"/>
          <w:szCs w:val="28"/>
        </w:rPr>
        <w:t xml:space="preserve">сть восстановления очередности </w:t>
      </w:r>
      <w:r w:rsidRPr="002D1564">
        <w:rPr>
          <w:rFonts w:ascii="Times New Roman" w:hAnsi="Times New Roman" w:cs="Times New Roman"/>
          <w:sz w:val="28"/>
          <w:szCs w:val="28"/>
        </w:rPr>
        <w:t>в дальнейшем;</w:t>
      </w:r>
    </w:p>
    <w:p w:rsidR="00B13834" w:rsidRPr="002D1564" w:rsidRDefault="00B13834" w:rsidP="002D1564">
      <w:pPr>
        <w:autoSpaceDE w:val="0"/>
        <w:autoSpaceDN w:val="0"/>
        <w:adjustRightInd w:val="0"/>
        <w:spacing w:after="0"/>
        <w:ind w:firstLine="708"/>
        <w:jc w:val="both"/>
        <w:rPr>
          <w:rFonts w:ascii="Times New Roman" w:hAnsi="Times New Roman" w:cs="Times New Roman"/>
          <w:b/>
          <w:sz w:val="28"/>
          <w:szCs w:val="28"/>
          <w:u w:val="single"/>
        </w:rPr>
      </w:pPr>
      <w:r w:rsidRPr="002D1564">
        <w:rPr>
          <w:rFonts w:ascii="Times New Roman" w:hAnsi="Times New Roman" w:cs="Times New Roman"/>
          <w:sz w:val="28"/>
          <w:szCs w:val="28"/>
        </w:rPr>
        <w:t>- отсутствует факт причинения убытков добросовестным кредиторам должника и т.д.</w:t>
      </w:r>
    </w:p>
    <w:p w:rsidR="00B13834" w:rsidRPr="002D1564" w:rsidRDefault="00B13834" w:rsidP="002D1564">
      <w:pPr>
        <w:spacing w:after="0"/>
        <w:ind w:firstLine="708"/>
        <w:contextualSpacing/>
        <w:jc w:val="both"/>
        <w:rPr>
          <w:rFonts w:ascii="Times New Roman" w:hAnsi="Times New Roman" w:cs="Times New Roman"/>
          <w:sz w:val="28"/>
          <w:szCs w:val="28"/>
        </w:rPr>
      </w:pPr>
      <w:proofErr w:type="gramStart"/>
      <w:r w:rsidRPr="002D1564">
        <w:rPr>
          <w:rFonts w:ascii="Times New Roman" w:hAnsi="Times New Roman" w:cs="Times New Roman"/>
          <w:sz w:val="28"/>
          <w:szCs w:val="28"/>
        </w:rPr>
        <w:lastRenderedPageBreak/>
        <w:t>При этом предотвращена выплата конкурсным управляющим задолженности по заработной плате и выходным пособиям в сумме более 46 млн. руб. приоритетно перед требованиями уполномоченного органа по текущим обязательным платежам второй очереди, а также сформирована положительная правоприменительная практика о том, что особенности проведения процедуры банкротства в отношении конкретного должника не могут служить основанием для нарушения императивных норм законодательства о банкротстве и практики</w:t>
      </w:r>
      <w:proofErr w:type="gramEnd"/>
      <w:r w:rsidRPr="002D1564">
        <w:rPr>
          <w:rFonts w:ascii="Times New Roman" w:hAnsi="Times New Roman" w:cs="Times New Roman"/>
          <w:sz w:val="28"/>
          <w:szCs w:val="28"/>
        </w:rPr>
        <w:t xml:space="preserve"> их применения. </w:t>
      </w:r>
    </w:p>
    <w:p w:rsidR="00B13834" w:rsidRPr="002D1564" w:rsidRDefault="00B13834" w:rsidP="002D1564">
      <w:pPr>
        <w:spacing w:after="0"/>
        <w:ind w:firstLine="708"/>
        <w:contextualSpacing/>
        <w:jc w:val="both"/>
        <w:rPr>
          <w:rFonts w:ascii="Times New Roman" w:hAnsi="Times New Roman" w:cs="Times New Roman"/>
          <w:sz w:val="28"/>
          <w:szCs w:val="28"/>
        </w:rPr>
      </w:pPr>
      <w:r w:rsidRPr="002D1564">
        <w:rPr>
          <w:rFonts w:ascii="Times New Roman" w:hAnsi="Times New Roman" w:cs="Times New Roman"/>
          <w:sz w:val="28"/>
          <w:szCs w:val="28"/>
        </w:rPr>
        <w:t>В настоящий момент поступления в бюджет от уплат</w:t>
      </w:r>
      <w:proofErr w:type="gramStart"/>
      <w:r w:rsidRPr="002D1564">
        <w:rPr>
          <w:rFonts w:ascii="Times New Roman" w:hAnsi="Times New Roman" w:cs="Times New Roman"/>
          <w:sz w:val="28"/>
          <w:szCs w:val="28"/>
        </w:rPr>
        <w:t>ы ООО</w:t>
      </w:r>
      <w:proofErr w:type="gramEnd"/>
      <w:r w:rsidRPr="002D1564">
        <w:rPr>
          <w:rFonts w:ascii="Times New Roman" w:hAnsi="Times New Roman" w:cs="Times New Roman"/>
          <w:sz w:val="28"/>
          <w:szCs w:val="28"/>
        </w:rPr>
        <w:t xml:space="preserve"> «СЛЗ» текущей задолженности уже составляют свыше 12 млн. руб.</w:t>
      </w:r>
    </w:p>
    <w:p w:rsidR="004E44B4" w:rsidRPr="00387A4C" w:rsidRDefault="004E44B4" w:rsidP="00387A4C">
      <w:pPr>
        <w:spacing w:after="0"/>
        <w:ind w:firstLine="709"/>
        <w:contextualSpacing/>
        <w:jc w:val="both"/>
        <w:rPr>
          <w:rFonts w:ascii="Times New Roman" w:hAnsi="Times New Roman" w:cs="Times New Roman"/>
          <w:sz w:val="28"/>
          <w:szCs w:val="28"/>
        </w:rPr>
      </w:pPr>
      <w:proofErr w:type="gramStart"/>
      <w:r w:rsidRPr="00387A4C">
        <w:rPr>
          <w:rFonts w:ascii="Times New Roman" w:hAnsi="Times New Roman" w:cs="Times New Roman"/>
          <w:sz w:val="28"/>
          <w:szCs w:val="28"/>
        </w:rPr>
        <w:t xml:space="preserve">Еще одним примером является дело о несостоятельности (банкротстве) ООО «Эскорт», в рамках которого конкурсный управляющий обратился в суд с заявлением, в котором просил признать законным отступление от очередности удовлетворения требований кредиторов по текущим платежам, установив приоритет требований по оплате вознаграждения охранной организации за оказание услуг по охране перед </w:t>
      </w:r>
      <w:r w:rsidR="009E0ED9">
        <w:rPr>
          <w:rFonts w:ascii="Times New Roman" w:hAnsi="Times New Roman" w:cs="Times New Roman"/>
          <w:sz w:val="28"/>
          <w:szCs w:val="28"/>
        </w:rPr>
        <w:t xml:space="preserve">текущими </w:t>
      </w:r>
      <w:r w:rsidRPr="00387A4C">
        <w:rPr>
          <w:rFonts w:ascii="Times New Roman" w:hAnsi="Times New Roman" w:cs="Times New Roman"/>
          <w:sz w:val="28"/>
          <w:szCs w:val="28"/>
        </w:rPr>
        <w:t xml:space="preserve">требованиями </w:t>
      </w:r>
      <w:r w:rsidR="009E0ED9">
        <w:rPr>
          <w:rFonts w:ascii="Times New Roman" w:hAnsi="Times New Roman" w:cs="Times New Roman"/>
          <w:sz w:val="28"/>
          <w:szCs w:val="28"/>
        </w:rPr>
        <w:t>уполномоченного органа по НДФЛ и страховым взносам</w:t>
      </w:r>
      <w:r w:rsidRPr="00387A4C">
        <w:rPr>
          <w:rFonts w:ascii="Times New Roman" w:hAnsi="Times New Roman" w:cs="Times New Roman"/>
          <w:sz w:val="28"/>
          <w:szCs w:val="28"/>
        </w:rPr>
        <w:t>.</w:t>
      </w:r>
      <w:proofErr w:type="gramEnd"/>
    </w:p>
    <w:p w:rsidR="004E44B4" w:rsidRPr="00387A4C" w:rsidRDefault="00387A4C" w:rsidP="00387A4C">
      <w:pPr>
        <w:spacing w:after="0"/>
        <w:ind w:firstLine="709"/>
        <w:contextualSpacing/>
        <w:jc w:val="both"/>
        <w:rPr>
          <w:rFonts w:ascii="Times New Roman" w:hAnsi="Times New Roman" w:cs="Times New Roman"/>
          <w:sz w:val="28"/>
          <w:szCs w:val="28"/>
        </w:rPr>
      </w:pPr>
      <w:r w:rsidRPr="00387A4C">
        <w:rPr>
          <w:rFonts w:ascii="Times New Roman" w:hAnsi="Times New Roman" w:cs="Times New Roman"/>
          <w:sz w:val="28"/>
          <w:szCs w:val="28"/>
        </w:rPr>
        <w:t xml:space="preserve">Обращаясь в суд с данным заявлением, конкурсный управляющий указал, что в ходе конкурсного производства управляющим выявлено имущество на сумму более 2 млрд. рублей.  Для обеспечения сохранности имущества должника конкурсный управляющий привлек охранную организацию. Конкурсный управляющий просил суд установить приоритет удовлетворения требований данной организации по договору об оказании услуг по охране, относящихся к третьей очереди текущих платежей, перед текущими требованиями </w:t>
      </w:r>
      <w:r w:rsidR="009E0ED9">
        <w:rPr>
          <w:rFonts w:ascii="Times New Roman" w:hAnsi="Times New Roman" w:cs="Times New Roman"/>
          <w:sz w:val="28"/>
          <w:szCs w:val="28"/>
        </w:rPr>
        <w:t>уполномоченного органа по НДФЛ и страховым взносам</w:t>
      </w:r>
      <w:r w:rsidRPr="00387A4C">
        <w:rPr>
          <w:rFonts w:ascii="Times New Roman" w:hAnsi="Times New Roman" w:cs="Times New Roman"/>
          <w:sz w:val="28"/>
          <w:szCs w:val="28"/>
        </w:rPr>
        <w:t>.</w:t>
      </w:r>
    </w:p>
    <w:p w:rsidR="004E44B4" w:rsidRPr="00387A4C" w:rsidRDefault="00387A4C" w:rsidP="00387A4C">
      <w:pPr>
        <w:spacing w:after="0"/>
        <w:ind w:firstLine="709"/>
        <w:contextualSpacing/>
        <w:jc w:val="both"/>
        <w:rPr>
          <w:rFonts w:ascii="Times New Roman" w:hAnsi="Times New Roman" w:cs="Times New Roman"/>
          <w:sz w:val="28"/>
          <w:szCs w:val="28"/>
        </w:rPr>
      </w:pPr>
      <w:r w:rsidRPr="00387A4C">
        <w:rPr>
          <w:rFonts w:ascii="Times New Roman" w:hAnsi="Times New Roman" w:cs="Times New Roman"/>
          <w:sz w:val="28"/>
          <w:szCs w:val="28"/>
        </w:rPr>
        <w:t>В ходе рассмотрения заявления уполномоченному органу со ссылкой в том числе и на положительную правоприменительную практику, сформированную в рамках дела о банкротстве ООО «СЛЗ», удалось доказать необоснованность доводов конкурсного управляющего.</w:t>
      </w:r>
    </w:p>
    <w:p w:rsidR="00387A4C" w:rsidRPr="00387A4C" w:rsidRDefault="00387A4C" w:rsidP="00387A4C">
      <w:pPr>
        <w:spacing w:after="0"/>
        <w:ind w:firstLine="709"/>
        <w:contextualSpacing/>
        <w:jc w:val="both"/>
        <w:rPr>
          <w:rFonts w:ascii="Times New Roman" w:hAnsi="Times New Roman" w:cs="Times New Roman"/>
          <w:sz w:val="28"/>
          <w:szCs w:val="28"/>
        </w:rPr>
      </w:pPr>
      <w:r w:rsidRPr="00387A4C">
        <w:rPr>
          <w:rFonts w:ascii="Times New Roman" w:hAnsi="Times New Roman" w:cs="Times New Roman"/>
          <w:sz w:val="28"/>
          <w:szCs w:val="28"/>
        </w:rPr>
        <w:t>Так, суд с учетом позиции уполномоченного органа пришел к выводу об отсутствии в рассматриваемом деле экстраординарных оснований для отступления от установленной законом очередности удовлетворения требований кредиторов по текущим обязательствам.</w:t>
      </w:r>
    </w:p>
    <w:p w:rsidR="004E44B4" w:rsidRPr="00387A4C" w:rsidRDefault="00387A4C" w:rsidP="00387A4C">
      <w:pPr>
        <w:spacing w:after="0"/>
        <w:ind w:firstLine="709"/>
        <w:contextualSpacing/>
        <w:jc w:val="both"/>
        <w:rPr>
          <w:rFonts w:ascii="Times New Roman" w:hAnsi="Times New Roman" w:cs="Times New Roman"/>
          <w:sz w:val="28"/>
          <w:szCs w:val="28"/>
        </w:rPr>
      </w:pPr>
      <w:proofErr w:type="gramStart"/>
      <w:r w:rsidRPr="00387A4C">
        <w:rPr>
          <w:rFonts w:ascii="Times New Roman" w:hAnsi="Times New Roman" w:cs="Times New Roman"/>
          <w:sz w:val="28"/>
          <w:szCs w:val="28"/>
        </w:rPr>
        <w:t xml:space="preserve">Суд также указал, что конкурсный управляющий должника не представил документально подтвержденное обоснование того обстоятельства, что изменение календарной очередности погашения задолженности кредиторов по текущим платежам будет способствовать предотвращению наступления негативных событий, которые нельзя было </w:t>
      </w:r>
      <w:r w:rsidRPr="00387A4C">
        <w:rPr>
          <w:rFonts w:ascii="Times New Roman" w:hAnsi="Times New Roman" w:cs="Times New Roman"/>
          <w:sz w:val="28"/>
          <w:szCs w:val="28"/>
        </w:rPr>
        <w:lastRenderedPageBreak/>
        <w:t>предусмотреть, или неразрывно связано с обеспечением сохранности имущества должника, а также не представил обоснование того обстоятельства, что отступление от очередности в данном случае носит временный характер (период</w:t>
      </w:r>
      <w:proofErr w:type="gramEnd"/>
      <w:r w:rsidRPr="00387A4C">
        <w:rPr>
          <w:rFonts w:ascii="Times New Roman" w:hAnsi="Times New Roman" w:cs="Times New Roman"/>
          <w:sz w:val="28"/>
          <w:szCs w:val="28"/>
        </w:rPr>
        <w:t xml:space="preserve"> времени не </w:t>
      </w:r>
      <w:proofErr w:type="gramStart"/>
      <w:r w:rsidRPr="00387A4C">
        <w:rPr>
          <w:rFonts w:ascii="Times New Roman" w:hAnsi="Times New Roman" w:cs="Times New Roman"/>
          <w:sz w:val="28"/>
          <w:szCs w:val="28"/>
        </w:rPr>
        <w:t>указан</w:t>
      </w:r>
      <w:proofErr w:type="gramEnd"/>
      <w:r w:rsidRPr="00387A4C">
        <w:rPr>
          <w:rFonts w:ascii="Times New Roman" w:hAnsi="Times New Roman" w:cs="Times New Roman"/>
          <w:sz w:val="28"/>
          <w:szCs w:val="28"/>
        </w:rPr>
        <w:t>) и обусловлено отсутствием необходимого размера денежных средств для исполнения обязанностей в календарной очередности, а также отсутствием вероятности поступления денежных средств в конкурсную массу в последующем.</w:t>
      </w:r>
    </w:p>
    <w:p w:rsidR="00B13834" w:rsidRPr="00387A4C" w:rsidRDefault="00B13834" w:rsidP="00387A4C">
      <w:pPr>
        <w:spacing w:after="0"/>
        <w:ind w:firstLine="709"/>
        <w:contextualSpacing/>
        <w:jc w:val="both"/>
        <w:rPr>
          <w:rFonts w:ascii="Times New Roman" w:hAnsi="Times New Roman" w:cs="Times New Roman"/>
          <w:sz w:val="28"/>
          <w:szCs w:val="28"/>
        </w:rPr>
      </w:pPr>
      <w:proofErr w:type="gramStart"/>
      <w:r w:rsidRPr="00387A4C">
        <w:rPr>
          <w:rFonts w:ascii="Times New Roman" w:hAnsi="Times New Roman" w:cs="Times New Roman"/>
          <w:sz w:val="28"/>
          <w:szCs w:val="28"/>
        </w:rPr>
        <w:t>Кроме того, ссылка на практику применения пункта 18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20.12.2016 сформированную в рамках дела о несостоятельности (банкротстве) ООО «СЛЗ», позволила уполномоченному органу добиться отказа в удовлетворении аналогичных заявлений арбитражных управляющих, направленных в рамках дел</w:t>
      </w:r>
      <w:proofErr w:type="gramEnd"/>
      <w:r w:rsidRPr="00387A4C">
        <w:rPr>
          <w:rFonts w:ascii="Times New Roman" w:hAnsi="Times New Roman" w:cs="Times New Roman"/>
          <w:sz w:val="28"/>
          <w:szCs w:val="28"/>
        </w:rPr>
        <w:t xml:space="preserve"> о банкротстве АО «ПЭМЗ</w:t>
      </w:r>
      <w:r w:rsidR="00387A4C" w:rsidRPr="00387A4C">
        <w:rPr>
          <w:rFonts w:ascii="Times New Roman" w:hAnsi="Times New Roman" w:cs="Times New Roman"/>
          <w:sz w:val="28"/>
          <w:szCs w:val="28"/>
        </w:rPr>
        <w:t xml:space="preserve"> </w:t>
      </w:r>
      <w:proofErr w:type="spellStart"/>
      <w:r w:rsidR="00387A4C" w:rsidRPr="00387A4C">
        <w:rPr>
          <w:rFonts w:ascii="Times New Roman" w:hAnsi="Times New Roman" w:cs="Times New Roman"/>
          <w:sz w:val="28"/>
          <w:szCs w:val="28"/>
        </w:rPr>
        <w:t>Спецмаш</w:t>
      </w:r>
      <w:proofErr w:type="spellEnd"/>
      <w:r w:rsidR="00387A4C" w:rsidRPr="00387A4C">
        <w:rPr>
          <w:rFonts w:ascii="Times New Roman" w:hAnsi="Times New Roman" w:cs="Times New Roman"/>
          <w:sz w:val="28"/>
          <w:szCs w:val="28"/>
        </w:rPr>
        <w:t xml:space="preserve">», ООО «ПКФ </w:t>
      </w:r>
      <w:proofErr w:type="spellStart"/>
      <w:r w:rsidR="00387A4C" w:rsidRPr="00387A4C">
        <w:rPr>
          <w:rFonts w:ascii="Times New Roman" w:hAnsi="Times New Roman" w:cs="Times New Roman"/>
          <w:sz w:val="28"/>
          <w:szCs w:val="28"/>
        </w:rPr>
        <w:t>Стройбетон</w:t>
      </w:r>
      <w:proofErr w:type="spellEnd"/>
      <w:r w:rsidR="00387A4C" w:rsidRPr="00387A4C">
        <w:rPr>
          <w:rFonts w:ascii="Times New Roman" w:hAnsi="Times New Roman" w:cs="Times New Roman"/>
          <w:sz w:val="28"/>
          <w:szCs w:val="28"/>
        </w:rPr>
        <w:t>» и</w:t>
      </w:r>
      <w:r w:rsidRPr="00387A4C">
        <w:rPr>
          <w:rFonts w:ascii="Times New Roman" w:hAnsi="Times New Roman" w:cs="Times New Roman"/>
          <w:sz w:val="28"/>
          <w:szCs w:val="28"/>
        </w:rPr>
        <w:t xml:space="preserve"> ОАО «22 </w:t>
      </w:r>
      <w:r w:rsidR="00387A4C" w:rsidRPr="00387A4C">
        <w:rPr>
          <w:rFonts w:ascii="Times New Roman" w:hAnsi="Times New Roman" w:cs="Times New Roman"/>
          <w:sz w:val="28"/>
          <w:szCs w:val="28"/>
        </w:rPr>
        <w:t xml:space="preserve">Бронетанковый ремонтный завод», </w:t>
      </w:r>
      <w:r w:rsidRPr="00387A4C">
        <w:rPr>
          <w:rFonts w:ascii="Times New Roman" w:hAnsi="Times New Roman" w:cs="Times New Roman"/>
          <w:sz w:val="28"/>
          <w:szCs w:val="28"/>
        </w:rPr>
        <w:t>что увеличило вероятность погашения текущей задолженности перед бюджетом Российской Федерации.</w:t>
      </w:r>
    </w:p>
    <w:p w:rsidR="00B13834" w:rsidRPr="002D1564" w:rsidRDefault="00B13834" w:rsidP="002D1564">
      <w:pPr>
        <w:autoSpaceDE w:val="0"/>
        <w:autoSpaceDN w:val="0"/>
        <w:adjustRightInd w:val="0"/>
        <w:spacing w:after="0"/>
        <w:ind w:firstLine="708"/>
        <w:jc w:val="both"/>
        <w:rPr>
          <w:rFonts w:ascii="Times New Roman" w:hAnsi="Times New Roman" w:cs="Times New Roman"/>
          <w:sz w:val="28"/>
          <w:szCs w:val="28"/>
        </w:rPr>
      </w:pPr>
    </w:p>
    <w:p w:rsidR="002D1564" w:rsidRPr="002D1564" w:rsidRDefault="00525296" w:rsidP="002D1564">
      <w:pPr>
        <w:autoSpaceDE w:val="0"/>
        <w:autoSpaceDN w:val="0"/>
        <w:adjustRightInd w:val="0"/>
        <w:spacing w:after="0"/>
        <w:ind w:firstLine="709"/>
        <w:jc w:val="both"/>
        <w:outlineLvl w:val="3"/>
        <w:rPr>
          <w:rFonts w:ascii="Times New Roman" w:hAnsi="Times New Roman" w:cs="Times New Roman"/>
          <w:sz w:val="28"/>
          <w:szCs w:val="28"/>
        </w:rPr>
      </w:pPr>
      <w:r w:rsidRPr="002D1564">
        <w:rPr>
          <w:rFonts w:ascii="Times New Roman" w:hAnsi="Times New Roman" w:cs="Times New Roman"/>
          <w:sz w:val="28"/>
          <w:szCs w:val="28"/>
        </w:rPr>
        <w:t xml:space="preserve">В заключение своего выступления хочу отметить, что </w:t>
      </w:r>
      <w:r w:rsidR="002D1564" w:rsidRPr="002D1564">
        <w:rPr>
          <w:rFonts w:ascii="Times New Roman" w:hAnsi="Times New Roman" w:cs="Times New Roman"/>
          <w:sz w:val="28"/>
          <w:szCs w:val="28"/>
        </w:rPr>
        <w:t>текущая задолженность – это наиболее благоприятный материал для работы по повышению эффективности взыскания в процедурах банкротства в целом. О</w:t>
      </w:r>
      <w:r w:rsidR="008E2BAF" w:rsidRPr="002D1564">
        <w:rPr>
          <w:rFonts w:ascii="Times New Roman" w:hAnsi="Times New Roman" w:cs="Times New Roman"/>
          <w:sz w:val="28"/>
          <w:szCs w:val="28"/>
        </w:rPr>
        <w:t xml:space="preserve">беспечение </w:t>
      </w:r>
      <w:r w:rsidR="002D1564" w:rsidRPr="002D1564">
        <w:rPr>
          <w:rFonts w:ascii="Times New Roman" w:hAnsi="Times New Roman" w:cs="Times New Roman"/>
          <w:sz w:val="28"/>
          <w:szCs w:val="28"/>
        </w:rPr>
        <w:t xml:space="preserve">полноты и </w:t>
      </w:r>
      <w:r w:rsidRPr="002D1564">
        <w:rPr>
          <w:rFonts w:ascii="Times New Roman" w:hAnsi="Times New Roman" w:cs="Times New Roman"/>
          <w:sz w:val="28"/>
          <w:szCs w:val="28"/>
        </w:rPr>
        <w:t>своевременност</w:t>
      </w:r>
      <w:r w:rsidR="008E2BAF" w:rsidRPr="002D1564">
        <w:rPr>
          <w:rFonts w:ascii="Times New Roman" w:hAnsi="Times New Roman" w:cs="Times New Roman"/>
          <w:sz w:val="28"/>
          <w:szCs w:val="28"/>
        </w:rPr>
        <w:t>и</w:t>
      </w:r>
      <w:r w:rsidRPr="002D1564">
        <w:rPr>
          <w:rFonts w:ascii="Times New Roman" w:hAnsi="Times New Roman" w:cs="Times New Roman"/>
          <w:sz w:val="28"/>
          <w:szCs w:val="28"/>
        </w:rPr>
        <w:t xml:space="preserve"> уплаты текущих налоговых платежей в делах о банкротстве в настоящее время является одним из основных источников поступления в бюджет денежных средствах в делах о банкротстве.</w:t>
      </w:r>
      <w:r w:rsidR="008E2BAF" w:rsidRPr="002D1564">
        <w:rPr>
          <w:rFonts w:ascii="Times New Roman" w:hAnsi="Times New Roman" w:cs="Times New Roman"/>
          <w:sz w:val="28"/>
          <w:szCs w:val="28"/>
        </w:rPr>
        <w:t xml:space="preserve"> </w:t>
      </w:r>
    </w:p>
    <w:p w:rsidR="00525296" w:rsidRPr="00525296" w:rsidRDefault="002D1564" w:rsidP="002D1564">
      <w:pPr>
        <w:autoSpaceDE w:val="0"/>
        <w:autoSpaceDN w:val="0"/>
        <w:adjustRightInd w:val="0"/>
        <w:spacing w:after="0"/>
        <w:ind w:firstLine="709"/>
        <w:jc w:val="both"/>
        <w:outlineLvl w:val="3"/>
        <w:rPr>
          <w:rFonts w:ascii="Times New Roman" w:hAnsi="Times New Roman" w:cs="Times New Roman"/>
          <w:sz w:val="28"/>
          <w:szCs w:val="28"/>
        </w:rPr>
      </w:pPr>
      <w:r w:rsidRPr="002D1564">
        <w:rPr>
          <w:rFonts w:ascii="Times New Roman" w:hAnsi="Times New Roman" w:cs="Times New Roman"/>
          <w:sz w:val="28"/>
          <w:szCs w:val="28"/>
        </w:rPr>
        <w:t>В этой связи</w:t>
      </w:r>
      <w:r w:rsidR="00272E0D">
        <w:rPr>
          <w:rFonts w:ascii="Times New Roman" w:hAnsi="Times New Roman" w:cs="Times New Roman"/>
          <w:sz w:val="28"/>
          <w:szCs w:val="28"/>
        </w:rPr>
        <w:t xml:space="preserve"> налоговые органы к</w:t>
      </w:r>
      <w:r w:rsidR="00525296" w:rsidRPr="002D1564">
        <w:rPr>
          <w:rFonts w:ascii="Times New Roman" w:hAnsi="Times New Roman" w:cs="Times New Roman"/>
          <w:sz w:val="28"/>
          <w:szCs w:val="28"/>
        </w:rPr>
        <w:t>онцентрир</w:t>
      </w:r>
      <w:r w:rsidR="00272E0D">
        <w:rPr>
          <w:rFonts w:ascii="Times New Roman" w:hAnsi="Times New Roman" w:cs="Times New Roman"/>
          <w:sz w:val="28"/>
          <w:szCs w:val="28"/>
        </w:rPr>
        <w:t>уют</w:t>
      </w:r>
      <w:r w:rsidR="00525296" w:rsidRPr="002D1564">
        <w:rPr>
          <w:rFonts w:ascii="Times New Roman" w:hAnsi="Times New Roman" w:cs="Times New Roman"/>
          <w:sz w:val="28"/>
          <w:szCs w:val="28"/>
        </w:rPr>
        <w:t xml:space="preserve"> свои усилия не только на работе по взысканию текущей задолженности</w:t>
      </w:r>
      <w:r w:rsidR="008E2BAF" w:rsidRPr="002D1564">
        <w:rPr>
          <w:rFonts w:ascii="Times New Roman" w:hAnsi="Times New Roman" w:cs="Times New Roman"/>
          <w:sz w:val="28"/>
          <w:szCs w:val="28"/>
        </w:rPr>
        <w:t xml:space="preserve"> </w:t>
      </w:r>
      <w:r w:rsidR="00525296" w:rsidRPr="002D1564">
        <w:rPr>
          <w:rFonts w:ascii="Times New Roman" w:hAnsi="Times New Roman" w:cs="Times New Roman"/>
          <w:sz w:val="28"/>
          <w:szCs w:val="28"/>
        </w:rPr>
        <w:t>и недопущени</w:t>
      </w:r>
      <w:r w:rsidR="00D709B1">
        <w:rPr>
          <w:rFonts w:ascii="Times New Roman" w:hAnsi="Times New Roman" w:cs="Times New Roman"/>
          <w:sz w:val="28"/>
          <w:szCs w:val="28"/>
        </w:rPr>
        <w:t>ю</w:t>
      </w:r>
      <w:r w:rsidR="00525296" w:rsidRPr="002D1564">
        <w:rPr>
          <w:rFonts w:ascii="Times New Roman" w:hAnsi="Times New Roman" w:cs="Times New Roman"/>
          <w:sz w:val="28"/>
          <w:szCs w:val="28"/>
        </w:rPr>
        <w:t xml:space="preserve"> фактов нарушения очередности ее уплаты, </w:t>
      </w:r>
      <w:r w:rsidR="008E2BAF" w:rsidRPr="002D1564">
        <w:rPr>
          <w:rFonts w:ascii="Times New Roman" w:hAnsi="Times New Roman" w:cs="Times New Roman"/>
          <w:sz w:val="28"/>
          <w:szCs w:val="28"/>
        </w:rPr>
        <w:t>но и</w:t>
      </w:r>
      <w:r w:rsidR="00525296" w:rsidRPr="002D1564">
        <w:rPr>
          <w:rFonts w:ascii="Times New Roman" w:hAnsi="Times New Roman" w:cs="Times New Roman"/>
          <w:sz w:val="28"/>
          <w:szCs w:val="28"/>
        </w:rPr>
        <w:t xml:space="preserve"> на исключении с</w:t>
      </w:r>
      <w:r w:rsidR="00D709B1">
        <w:rPr>
          <w:rFonts w:ascii="Times New Roman" w:hAnsi="Times New Roman" w:cs="Times New Roman"/>
          <w:sz w:val="28"/>
          <w:szCs w:val="28"/>
        </w:rPr>
        <w:t>лучаев ее необоснованного роста!</w:t>
      </w:r>
    </w:p>
    <w:p w:rsidR="00A747E6" w:rsidRDefault="00A747E6" w:rsidP="002D1564">
      <w:pPr>
        <w:spacing w:after="0"/>
        <w:ind w:firstLine="709"/>
        <w:jc w:val="both"/>
        <w:rPr>
          <w:rFonts w:ascii="Times New Roman" w:hAnsi="Times New Roman" w:cs="Times New Roman"/>
          <w:sz w:val="28"/>
          <w:szCs w:val="28"/>
        </w:rPr>
      </w:pPr>
    </w:p>
    <w:p w:rsidR="00BE529E" w:rsidRDefault="000E476B" w:rsidP="002D1564">
      <w:pPr>
        <w:spacing w:after="0"/>
        <w:ind w:firstLine="709"/>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A449FF" w:rsidRDefault="00A449FF" w:rsidP="002D1564">
      <w:pPr>
        <w:spacing w:after="0"/>
        <w:ind w:firstLine="709"/>
        <w:jc w:val="center"/>
        <w:rPr>
          <w:rFonts w:ascii="Times New Roman" w:hAnsi="Times New Roman" w:cs="Times New Roman"/>
          <w:sz w:val="28"/>
          <w:szCs w:val="28"/>
        </w:rPr>
      </w:pPr>
    </w:p>
    <w:p w:rsidR="00A449FF" w:rsidRPr="00BE529E" w:rsidRDefault="00A449FF" w:rsidP="002D1564">
      <w:pPr>
        <w:spacing w:after="0"/>
        <w:ind w:firstLine="709"/>
        <w:jc w:val="center"/>
        <w:rPr>
          <w:rFonts w:ascii="Times New Roman" w:hAnsi="Times New Roman" w:cs="Times New Roman"/>
          <w:sz w:val="28"/>
          <w:szCs w:val="28"/>
        </w:rPr>
      </w:pPr>
      <w:bookmarkStart w:id="0" w:name="_GoBack"/>
      <w:r w:rsidRPr="00A449FF">
        <w:rPr>
          <w:rFonts w:ascii="Times New Roman" w:hAnsi="Times New Roman" w:cs="Times New Roman"/>
          <w:noProof/>
          <w:sz w:val="28"/>
          <w:szCs w:val="28"/>
        </w:rPr>
        <w:drawing>
          <wp:inline distT="0" distB="0" distL="0" distR="0" wp14:anchorId="5D2D6CAE" wp14:editId="32AF265B">
            <wp:extent cx="2472266" cy="1390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72266" cy="1390650"/>
                    </a:xfrm>
                    <a:prstGeom prst="rect">
                      <a:avLst/>
                    </a:prstGeom>
                  </pic:spPr>
                </pic:pic>
              </a:graphicData>
            </a:graphic>
          </wp:inline>
        </w:drawing>
      </w:r>
      <w:bookmarkEnd w:id="0"/>
    </w:p>
    <w:sectPr w:rsidR="00A449FF" w:rsidRPr="00BE529E" w:rsidSect="00DE796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AB" w:rsidRDefault="001033AB" w:rsidP="00967B33">
      <w:pPr>
        <w:spacing w:after="0" w:line="240" w:lineRule="auto"/>
      </w:pPr>
      <w:r>
        <w:separator/>
      </w:r>
    </w:p>
  </w:endnote>
  <w:endnote w:type="continuationSeparator" w:id="0">
    <w:p w:rsidR="001033AB" w:rsidRDefault="001033AB" w:rsidP="009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AB" w:rsidRDefault="001033AB" w:rsidP="00967B33">
      <w:pPr>
        <w:spacing w:after="0" w:line="240" w:lineRule="auto"/>
      </w:pPr>
      <w:r>
        <w:separator/>
      </w:r>
    </w:p>
  </w:footnote>
  <w:footnote w:type="continuationSeparator" w:id="0">
    <w:p w:rsidR="001033AB" w:rsidRDefault="001033AB" w:rsidP="0096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722"/>
      <w:docPartObj>
        <w:docPartGallery w:val="Page Numbers (Top of Page)"/>
        <w:docPartUnique/>
      </w:docPartObj>
    </w:sdtPr>
    <w:sdtEndPr/>
    <w:sdtContent>
      <w:p w:rsidR="0038113C" w:rsidRDefault="00550503">
        <w:pPr>
          <w:pStyle w:val="a7"/>
          <w:jc w:val="center"/>
        </w:pPr>
        <w:r>
          <w:fldChar w:fldCharType="begin"/>
        </w:r>
        <w:r w:rsidR="0038113C">
          <w:instrText xml:space="preserve"> PAGE   \* MERGEFORMAT </w:instrText>
        </w:r>
        <w:r>
          <w:fldChar w:fldCharType="separate"/>
        </w:r>
        <w:r w:rsidR="00CF6277">
          <w:rPr>
            <w:noProof/>
          </w:rPr>
          <w:t>9</w:t>
        </w:r>
        <w:r>
          <w:rPr>
            <w:noProof/>
          </w:rPr>
          <w:fldChar w:fldCharType="end"/>
        </w:r>
      </w:p>
    </w:sdtContent>
  </w:sdt>
  <w:p w:rsidR="0038113C" w:rsidRDefault="003811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D7C"/>
    <w:multiLevelType w:val="multilevel"/>
    <w:tmpl w:val="DB84F210"/>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03806"/>
    <w:multiLevelType w:val="multilevel"/>
    <w:tmpl w:val="F048C2DA"/>
    <w:lvl w:ilvl="0">
      <w:start w:val="5"/>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0F2043"/>
    <w:multiLevelType w:val="hybridMultilevel"/>
    <w:tmpl w:val="CDD03CB8"/>
    <w:lvl w:ilvl="0" w:tplc="5810D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612FA"/>
    <w:multiLevelType w:val="hybridMultilevel"/>
    <w:tmpl w:val="46C8D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904C59"/>
    <w:multiLevelType w:val="multilevel"/>
    <w:tmpl w:val="63F8827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87374C0"/>
    <w:multiLevelType w:val="multilevel"/>
    <w:tmpl w:val="78EC8D58"/>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BBB69A6"/>
    <w:multiLevelType w:val="hybridMultilevel"/>
    <w:tmpl w:val="B092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C72C5"/>
    <w:multiLevelType w:val="multilevel"/>
    <w:tmpl w:val="77E2AA9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7"/>
  </w:num>
  <w:num w:numId="3">
    <w:abstractNumId w:val="0"/>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3A86"/>
    <w:rsid w:val="00013AFD"/>
    <w:rsid w:val="00025754"/>
    <w:rsid w:val="000D2DD9"/>
    <w:rsid w:val="000D2F41"/>
    <w:rsid w:val="000E476B"/>
    <w:rsid w:val="000E5B47"/>
    <w:rsid w:val="000F6736"/>
    <w:rsid w:val="000F69C4"/>
    <w:rsid w:val="001033AB"/>
    <w:rsid w:val="00106807"/>
    <w:rsid w:val="0013273D"/>
    <w:rsid w:val="00152B9B"/>
    <w:rsid w:val="00167671"/>
    <w:rsid w:val="00172104"/>
    <w:rsid w:val="001749FF"/>
    <w:rsid w:val="00180844"/>
    <w:rsid w:val="00182931"/>
    <w:rsid w:val="00192A8B"/>
    <w:rsid w:val="001C1588"/>
    <w:rsid w:val="001C2CE6"/>
    <w:rsid w:val="002162A3"/>
    <w:rsid w:val="0023468F"/>
    <w:rsid w:val="00235802"/>
    <w:rsid w:val="00243F2A"/>
    <w:rsid w:val="00247555"/>
    <w:rsid w:val="002679C9"/>
    <w:rsid w:val="00272E0D"/>
    <w:rsid w:val="0027313D"/>
    <w:rsid w:val="002A150E"/>
    <w:rsid w:val="002B5CC2"/>
    <w:rsid w:val="002D1564"/>
    <w:rsid w:val="002D7715"/>
    <w:rsid w:val="002E2139"/>
    <w:rsid w:val="00300FBB"/>
    <w:rsid w:val="00324C36"/>
    <w:rsid w:val="00337E92"/>
    <w:rsid w:val="00370DEC"/>
    <w:rsid w:val="00376EC6"/>
    <w:rsid w:val="0038113C"/>
    <w:rsid w:val="00387A4C"/>
    <w:rsid w:val="003C4DC5"/>
    <w:rsid w:val="003C6945"/>
    <w:rsid w:val="00400031"/>
    <w:rsid w:val="00406044"/>
    <w:rsid w:val="00406A7E"/>
    <w:rsid w:val="00420048"/>
    <w:rsid w:val="00443673"/>
    <w:rsid w:val="00471851"/>
    <w:rsid w:val="004948E9"/>
    <w:rsid w:val="004A410B"/>
    <w:rsid w:val="004E44B4"/>
    <w:rsid w:val="00525296"/>
    <w:rsid w:val="00547B46"/>
    <w:rsid w:val="00550503"/>
    <w:rsid w:val="00572D54"/>
    <w:rsid w:val="00580880"/>
    <w:rsid w:val="00587C4B"/>
    <w:rsid w:val="00596D47"/>
    <w:rsid w:val="005B3C3F"/>
    <w:rsid w:val="005F5275"/>
    <w:rsid w:val="00636A03"/>
    <w:rsid w:val="00637D3B"/>
    <w:rsid w:val="006532B4"/>
    <w:rsid w:val="00681F2B"/>
    <w:rsid w:val="006A4265"/>
    <w:rsid w:val="006C3474"/>
    <w:rsid w:val="006C7180"/>
    <w:rsid w:val="006C71F3"/>
    <w:rsid w:val="006D7847"/>
    <w:rsid w:val="00723A86"/>
    <w:rsid w:val="007330B9"/>
    <w:rsid w:val="00770F4E"/>
    <w:rsid w:val="007A0CFB"/>
    <w:rsid w:val="007C26B6"/>
    <w:rsid w:val="008344C6"/>
    <w:rsid w:val="00864FF0"/>
    <w:rsid w:val="008862C9"/>
    <w:rsid w:val="00893614"/>
    <w:rsid w:val="008A2CE7"/>
    <w:rsid w:val="008A3C2A"/>
    <w:rsid w:val="008D2346"/>
    <w:rsid w:val="008D688E"/>
    <w:rsid w:val="008E2BAF"/>
    <w:rsid w:val="008F017C"/>
    <w:rsid w:val="008F5821"/>
    <w:rsid w:val="0091073A"/>
    <w:rsid w:val="00927A4A"/>
    <w:rsid w:val="00967B33"/>
    <w:rsid w:val="00967F4E"/>
    <w:rsid w:val="009A4199"/>
    <w:rsid w:val="009A7C3B"/>
    <w:rsid w:val="009D7020"/>
    <w:rsid w:val="009E0ED9"/>
    <w:rsid w:val="009F1AFF"/>
    <w:rsid w:val="00A00973"/>
    <w:rsid w:val="00A12AD7"/>
    <w:rsid w:val="00A24526"/>
    <w:rsid w:val="00A30882"/>
    <w:rsid w:val="00A40BB4"/>
    <w:rsid w:val="00A449FF"/>
    <w:rsid w:val="00A747E6"/>
    <w:rsid w:val="00AE0239"/>
    <w:rsid w:val="00B01487"/>
    <w:rsid w:val="00B13834"/>
    <w:rsid w:val="00B205AE"/>
    <w:rsid w:val="00B321BE"/>
    <w:rsid w:val="00B53BE7"/>
    <w:rsid w:val="00BA22F3"/>
    <w:rsid w:val="00BE529E"/>
    <w:rsid w:val="00C21A6B"/>
    <w:rsid w:val="00C5607C"/>
    <w:rsid w:val="00C72123"/>
    <w:rsid w:val="00CE6BEA"/>
    <w:rsid w:val="00CF14B9"/>
    <w:rsid w:val="00CF2F5C"/>
    <w:rsid w:val="00CF6277"/>
    <w:rsid w:val="00D5561E"/>
    <w:rsid w:val="00D709B1"/>
    <w:rsid w:val="00DB0D9B"/>
    <w:rsid w:val="00DB51D1"/>
    <w:rsid w:val="00DE7963"/>
    <w:rsid w:val="00E258AA"/>
    <w:rsid w:val="00E4044D"/>
    <w:rsid w:val="00E46645"/>
    <w:rsid w:val="00E7684F"/>
    <w:rsid w:val="00EB2594"/>
    <w:rsid w:val="00EC17C7"/>
    <w:rsid w:val="00F02C4B"/>
    <w:rsid w:val="00F641C3"/>
    <w:rsid w:val="00F761EE"/>
    <w:rsid w:val="00F81130"/>
    <w:rsid w:val="00F84DE2"/>
    <w:rsid w:val="00F96F39"/>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B33"/>
    <w:pPr>
      <w:spacing w:after="160" w:line="259" w:lineRule="auto"/>
      <w:ind w:left="720"/>
      <w:contextualSpacing/>
    </w:pPr>
  </w:style>
  <w:style w:type="paragraph" w:customStyle="1" w:styleId="ConsPlusNormal">
    <w:name w:val="ConsPlusNormal"/>
    <w:rsid w:val="00967B33"/>
    <w:pPr>
      <w:autoSpaceDE w:val="0"/>
      <w:autoSpaceDN w:val="0"/>
      <w:adjustRightInd w:val="0"/>
      <w:spacing w:after="0" w:line="240" w:lineRule="auto"/>
    </w:pPr>
    <w:rPr>
      <w:rFonts w:ascii="Times New Roman" w:hAnsi="Times New Roman" w:cs="Times New Roman"/>
      <w:sz w:val="28"/>
      <w:szCs w:val="28"/>
    </w:rPr>
  </w:style>
  <w:style w:type="paragraph" w:styleId="a4">
    <w:name w:val="footnote text"/>
    <w:basedOn w:val="a"/>
    <w:link w:val="a5"/>
    <w:uiPriority w:val="99"/>
    <w:semiHidden/>
    <w:unhideWhenUsed/>
    <w:rsid w:val="00967B33"/>
    <w:pPr>
      <w:spacing w:after="0" w:line="240" w:lineRule="auto"/>
    </w:pPr>
    <w:rPr>
      <w:sz w:val="20"/>
      <w:szCs w:val="20"/>
    </w:rPr>
  </w:style>
  <w:style w:type="character" w:customStyle="1" w:styleId="a5">
    <w:name w:val="Текст сноски Знак"/>
    <w:basedOn w:val="a0"/>
    <w:link w:val="a4"/>
    <w:uiPriority w:val="99"/>
    <w:semiHidden/>
    <w:rsid w:val="00967B33"/>
    <w:rPr>
      <w:sz w:val="20"/>
      <w:szCs w:val="20"/>
    </w:rPr>
  </w:style>
  <w:style w:type="character" w:styleId="a6">
    <w:name w:val="footnote reference"/>
    <w:basedOn w:val="a0"/>
    <w:uiPriority w:val="99"/>
    <w:semiHidden/>
    <w:unhideWhenUsed/>
    <w:rsid w:val="00967B33"/>
    <w:rPr>
      <w:vertAlign w:val="superscript"/>
    </w:rPr>
  </w:style>
  <w:style w:type="paragraph" w:styleId="a7">
    <w:name w:val="header"/>
    <w:basedOn w:val="a"/>
    <w:link w:val="a8"/>
    <w:unhideWhenUsed/>
    <w:rsid w:val="00CE6BEA"/>
    <w:pPr>
      <w:tabs>
        <w:tab w:val="center" w:pos="4677"/>
        <w:tab w:val="right" w:pos="9355"/>
      </w:tabs>
      <w:spacing w:after="0" w:line="240" w:lineRule="auto"/>
    </w:pPr>
  </w:style>
  <w:style w:type="character" w:customStyle="1" w:styleId="a8">
    <w:name w:val="Верхний колонтитул Знак"/>
    <w:basedOn w:val="a0"/>
    <w:link w:val="a7"/>
    <w:rsid w:val="00CE6BEA"/>
  </w:style>
  <w:style w:type="paragraph" w:styleId="a9">
    <w:name w:val="footer"/>
    <w:basedOn w:val="a"/>
    <w:link w:val="aa"/>
    <w:uiPriority w:val="99"/>
    <w:unhideWhenUsed/>
    <w:rsid w:val="00CE6B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BEA"/>
  </w:style>
  <w:style w:type="paragraph" w:styleId="ab">
    <w:name w:val="Body Text"/>
    <w:basedOn w:val="a"/>
    <w:link w:val="ac"/>
    <w:uiPriority w:val="99"/>
    <w:unhideWhenUsed/>
    <w:rsid w:val="00DE7963"/>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DE7963"/>
    <w:rPr>
      <w:rFonts w:ascii="Times New Roman" w:eastAsia="Times New Roman" w:hAnsi="Times New Roman" w:cs="Times New Roman"/>
      <w:sz w:val="24"/>
      <w:szCs w:val="24"/>
      <w:lang w:eastAsia="ru-RU"/>
    </w:rPr>
  </w:style>
  <w:style w:type="paragraph" w:styleId="ad">
    <w:name w:val="No Spacing"/>
    <w:uiPriority w:val="99"/>
    <w:qFormat/>
    <w:rsid w:val="00DB0D9B"/>
    <w:pPr>
      <w:spacing w:after="0" w:line="240" w:lineRule="auto"/>
    </w:pPr>
    <w:rPr>
      <w:rFonts w:ascii="Calibri" w:eastAsia="Times New Roman" w:hAnsi="Calibri" w:cs="Times New Roman"/>
    </w:rPr>
  </w:style>
  <w:style w:type="paragraph" w:customStyle="1" w:styleId="Default">
    <w:name w:val="Default"/>
    <w:rsid w:val="00A009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
    <w:uiPriority w:val="99"/>
    <w:unhideWhenUsed/>
    <w:rsid w:val="00A00973"/>
    <w:pPr>
      <w:spacing w:before="240" w:after="240"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E47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B33"/>
    <w:pPr>
      <w:spacing w:after="160" w:line="259" w:lineRule="auto"/>
      <w:ind w:left="720"/>
      <w:contextualSpacing/>
    </w:pPr>
  </w:style>
  <w:style w:type="paragraph" w:customStyle="1" w:styleId="ConsPlusNormal">
    <w:name w:val="ConsPlusNormal"/>
    <w:rsid w:val="00967B33"/>
    <w:pPr>
      <w:autoSpaceDE w:val="0"/>
      <w:autoSpaceDN w:val="0"/>
      <w:adjustRightInd w:val="0"/>
      <w:spacing w:after="0" w:line="240" w:lineRule="auto"/>
    </w:pPr>
    <w:rPr>
      <w:rFonts w:ascii="Times New Roman" w:hAnsi="Times New Roman" w:cs="Times New Roman"/>
      <w:sz w:val="28"/>
      <w:szCs w:val="28"/>
    </w:rPr>
  </w:style>
  <w:style w:type="paragraph" w:styleId="a4">
    <w:name w:val="footnote text"/>
    <w:basedOn w:val="a"/>
    <w:link w:val="a5"/>
    <w:uiPriority w:val="99"/>
    <w:semiHidden/>
    <w:unhideWhenUsed/>
    <w:rsid w:val="00967B33"/>
    <w:pPr>
      <w:spacing w:after="0" w:line="240" w:lineRule="auto"/>
    </w:pPr>
    <w:rPr>
      <w:sz w:val="20"/>
      <w:szCs w:val="20"/>
    </w:rPr>
  </w:style>
  <w:style w:type="character" w:customStyle="1" w:styleId="a5">
    <w:name w:val="Текст сноски Знак"/>
    <w:basedOn w:val="a0"/>
    <w:link w:val="a4"/>
    <w:uiPriority w:val="99"/>
    <w:semiHidden/>
    <w:rsid w:val="00967B33"/>
    <w:rPr>
      <w:sz w:val="20"/>
      <w:szCs w:val="20"/>
    </w:rPr>
  </w:style>
  <w:style w:type="character" w:styleId="a6">
    <w:name w:val="footnote reference"/>
    <w:basedOn w:val="a0"/>
    <w:uiPriority w:val="99"/>
    <w:semiHidden/>
    <w:unhideWhenUsed/>
    <w:rsid w:val="00967B33"/>
    <w:rPr>
      <w:vertAlign w:val="superscript"/>
    </w:rPr>
  </w:style>
  <w:style w:type="paragraph" w:styleId="a7">
    <w:name w:val="header"/>
    <w:basedOn w:val="a"/>
    <w:link w:val="a8"/>
    <w:unhideWhenUsed/>
    <w:rsid w:val="00CE6BEA"/>
    <w:pPr>
      <w:tabs>
        <w:tab w:val="center" w:pos="4677"/>
        <w:tab w:val="right" w:pos="9355"/>
      </w:tabs>
      <w:spacing w:after="0" w:line="240" w:lineRule="auto"/>
    </w:pPr>
  </w:style>
  <w:style w:type="character" w:customStyle="1" w:styleId="a8">
    <w:name w:val="Верхний колонтитул Знак"/>
    <w:basedOn w:val="a0"/>
    <w:link w:val="a7"/>
    <w:rsid w:val="00CE6BEA"/>
  </w:style>
  <w:style w:type="paragraph" w:styleId="a9">
    <w:name w:val="footer"/>
    <w:basedOn w:val="a"/>
    <w:link w:val="aa"/>
    <w:uiPriority w:val="99"/>
    <w:unhideWhenUsed/>
    <w:rsid w:val="00CE6B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BEA"/>
  </w:style>
  <w:style w:type="paragraph" w:styleId="ab">
    <w:name w:val="Body Text"/>
    <w:basedOn w:val="a"/>
    <w:link w:val="ac"/>
    <w:uiPriority w:val="99"/>
    <w:unhideWhenUsed/>
    <w:rsid w:val="00DE7963"/>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DE7963"/>
    <w:rPr>
      <w:rFonts w:ascii="Times New Roman" w:eastAsia="Times New Roman" w:hAnsi="Times New Roman" w:cs="Times New Roman"/>
      <w:sz w:val="24"/>
      <w:szCs w:val="24"/>
      <w:lang w:eastAsia="ru-RU"/>
    </w:rPr>
  </w:style>
  <w:style w:type="paragraph" w:styleId="ad">
    <w:name w:val="No Spacing"/>
    <w:uiPriority w:val="99"/>
    <w:qFormat/>
    <w:rsid w:val="00DB0D9B"/>
    <w:pPr>
      <w:spacing w:after="0" w:line="240" w:lineRule="auto"/>
    </w:pPr>
    <w:rPr>
      <w:rFonts w:ascii="Calibri" w:eastAsia="Times New Roman" w:hAnsi="Calibri" w:cs="Times New Roman"/>
    </w:rPr>
  </w:style>
  <w:style w:type="paragraph" w:customStyle="1" w:styleId="Default">
    <w:name w:val="Default"/>
    <w:rsid w:val="00A009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
    <w:uiPriority w:val="99"/>
    <w:unhideWhenUsed/>
    <w:rsid w:val="00A00973"/>
    <w:pPr>
      <w:spacing w:before="240" w:after="240"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E47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4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Попов Василий Васильевич</cp:lastModifiedBy>
  <cp:revision>10</cp:revision>
  <dcterms:created xsi:type="dcterms:W3CDTF">2019-02-25T18:25:00Z</dcterms:created>
  <dcterms:modified xsi:type="dcterms:W3CDTF">2019-02-27T14:28:00Z</dcterms:modified>
</cp:coreProperties>
</file>