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Акбулакский район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от 3 октября 2012 г. N 215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D3033E" w:rsidRPr="00D3033E" w:rsidRDefault="00D3033E" w:rsidP="00D3033E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О ЕДИНОМ НАЛОГЕ НА ВМЕНЕННЫЙ ДОХОД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ДЛЯ ОТДЕЛЬНЫХ ВИДОВ ДЕЯТЕЛЬНОСТИ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значение корректирующего коэффициента базовой доходности </w:t>
      </w:r>
      <w:hyperlink r:id="rId5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К2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346.26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второй Налогового кодекса Российской Федерации и Федеральным </w:t>
      </w:r>
      <w:hyperlink r:id="rId7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Федерации".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2. Виды предпринимательской деятельности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оказание бытовых услуг. Коды видов деятельности в соответствии с Общероссийским </w:t>
      </w:r>
      <w:hyperlink r:id="rId8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 и коды услуг в соответствии с Общероссийским </w:t>
      </w:r>
      <w:hyperlink r:id="rId9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(пп. 1 в ред. </w:t>
      </w:r>
      <w:hyperlink r:id="rId10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образования "Акбулакский район" Оренбургской области от 15.12.2016 N 127)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2) оказания ветеринарных услуг;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3) оказания услуг по ремонту, техническому обслуживанию и мойке автомототранспортных средств;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представления данных услуг общую площадь помещений для временного размещения и проживания не более 500 квадратных метров;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3. Значения корректирующего коэффициента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3033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базовой доходности </w:t>
      </w:r>
      <w:hyperlink r:id="rId11" w:history="1">
        <w:r w:rsidRPr="00D3033E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</w:rPr>
          <w:t>К2</w:t>
        </w:r>
      </w:hyperlink>
    </w:p>
    <w:p w:rsid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определении величины базовой доходности доходность, указанная в </w:t>
      </w:r>
      <w:hyperlink r:id="rId12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346.29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Федеральном </w:t>
      </w:r>
      <w:hyperlink r:id="rId13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N 101-ФЗ "О внесении изменений и дополнений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 и Федеральном </w:t>
      </w:r>
      <w:hyperlink r:id="rId14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июня 2012 года N 94-ФЗ "О внесении изменений в части первую и вторую Налогового кодекса Российской Федерации", корректируется (умножается) на </w:t>
      </w:r>
      <w:hyperlink r:id="rId15" w:history="1">
        <w:r w:rsidRPr="00D303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 К2</w:t>
        </w:r>
      </w:hyperlink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определяемый по следующей формуле: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К2 = A x B x C x Д x V, где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A - индекс, учитывающий особенности видов предпринимательской деятельности установленный в размере: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1) Оказание бытовых услуг - 1,0;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2) Оказание ветеринарных услуг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3) Оказание услуг по ремонту, техническому обслуживанию и мойке автомототранспортных средств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5) Оказание автотранспортных услуг по перевозке грузов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6) Оказание автотранспортных услуг по перевозке пассажиров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7) Розничная торговля, осуществляемая через объекты стационарной торговой сети, имеющие торговые залы - 1,0;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8)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9)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10) Развозная и разносная розничная торговля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11) Реализация товаров с использованием торговых автоматов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12) Оказание услуг общественного питания через объект организации общественного питания, имеющий зал обслуживания посетителей - 1,0;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13) Оказание услуг общественного питания через объект организации общественного питания, не имеющий зала обслуживания посетителей - 1,0;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- 0,1;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15) Распространение наружной рекламы с использованием рекламных конструкций с автоматической сменой изображения - 0,1;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16) Распространение наружной рекламы с использованием электронных табло - 0,1;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17) Размещение рекламы с использованием внешних и внутренних поверхностей транспортных средств - 0,1;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18) Оказание услуг по временному размещению и проживанию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19)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20)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- 0,8;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B - индекс, учитывающий особенности ведения предпринимательской деятельности в зависимости от типа населенного пункта.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Для всех видов деятельности B - индекс установлен: п. Акбулак - 0,4; сельские населенные пункты, включенные в состав территории муниципального образования Акбулакский район - 0,3;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C - индекс, учитывающий размер торговой площади, установленный для розничной торговли, осуществляемой через объекты стационарной торговой сети, имеющие торговые залы и оказание услуг общественного питания через объекты организации общественного питания, имеющие залы обслуживания посетителей, в размере: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1) площадь торгового зала до 50 кв. метров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2) площадь торгового зала от 50 до 100 кв. метров - 0,97;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3) площадь торгового зала свыше 100 кв. метров - 0,86;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- индекс, учитывающий особенности труда инвалидов I,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</w:t>
      </w: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 фонде оплаты труда не менее 25 процентов, устанавливается в размере - 0,54;</w:t>
      </w: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33E" w:rsidRPr="00D3033E" w:rsidRDefault="00D3033E" w:rsidP="00D303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V - индекс, учитывающий ассортимент товара при розничной торговле: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1) мотоциклы и автомотозапчасти, ювелирные изделия и часы, галантерейные изделия, алкогольная продукция, пиво и табачные изделия, мебель, бытовая и оргтехника, ковры и ковровые изделия, средства связи, кино- и фототехника, аудио- и видеотехника и продукция - 1,08;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2) текстильные, трикотажные, швейные товары и обувь - 0,97;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3) фрукты, овощи, мясо и изделия из мяса, мясо птицы, рыбы и изделия из мяса птицы, рыбы. Цветы, аквариумные рыбки, птицы и домашние животные, предметы ухода за животными, птицами и рыбами (в том числе корма) - 0,86;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4) специализированная торговля товарами детского ассортимента,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водой, кондитерскими изделиями - 0,54;</w:t>
      </w:r>
    </w:p>
    <w:p w:rsidR="00D3033E" w:rsidRPr="00D3033E" w:rsidRDefault="00D3033E" w:rsidP="00D3033E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E">
        <w:rPr>
          <w:rFonts w:ascii="Times New Roman" w:hAnsi="Times New Roman" w:cs="Times New Roman"/>
          <w:color w:val="000000" w:themeColor="text1"/>
          <w:sz w:val="28"/>
          <w:szCs w:val="28"/>
        </w:rPr>
        <w:t>5) все остальные товары - 0,75.</w:t>
      </w:r>
    </w:p>
    <w:p w:rsidR="00CB33DB" w:rsidRDefault="00CB33DB"/>
    <w:sectPr w:rsidR="00CB33DB" w:rsidSect="002E5C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E"/>
    <w:rsid w:val="00CB33DB"/>
    <w:rsid w:val="00D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CA5B0125D88992C81C353D293DEB97D3E1A6CC29A93DE6A87A24BDA603635D1DD6F2E89A293F288AD38CCB3ZAbCM" TargetMode="External"/><Relationship Id="rId13" Type="http://schemas.openxmlformats.org/officeDocument/2006/relationships/hyperlink" Target="consultantplus://offline/ref=D78CA5B0125D88992C81C353D293DEB97F3A1D6BC39F93DE6A87A24BDA603635D1DD6F2E89A293F288AD38CCB3ZA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CA5B0125D88992C81C353D293DEB97F3F1069C49A93DE6A87A24BDA603635D1DD6F2E89A293F288AD38CCB3ZAbCM" TargetMode="External"/><Relationship Id="rId12" Type="http://schemas.openxmlformats.org/officeDocument/2006/relationships/hyperlink" Target="consultantplus://offline/ref=D78CA5B0125D88992C81C353D293DEB97D3E1B67C99893DE6A87A24BDA603635C3DD37208FAD88F9D9E27E99BFA722993F9B8A0334A0ZAb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CA5B0125D88992C81C353D293DEB97D3E1B67C99893DE6A87A24BDA603635C3DD37208FAF84F9D9E27E99BFA722993F9B8A0334A0ZAb4M" TargetMode="External"/><Relationship Id="rId11" Type="http://schemas.openxmlformats.org/officeDocument/2006/relationships/hyperlink" Target="consultantplus://offline/ref=D78CA5B0125D88992C81C353D293DEB97D3E1B67C99893DE6A87A24BDA603635C3DD37208FA384F9D9E27E99BFA722993F9B8A0334A0ZAb4M" TargetMode="External"/><Relationship Id="rId5" Type="http://schemas.openxmlformats.org/officeDocument/2006/relationships/hyperlink" Target="consultantplus://offline/ref=D78CA5B0125D88992C81C353D293DEB97D3E1B67C99893DE6A87A24BDA603635C3DD37208FA384F9D9E27E99BFA722993F9B8A0334A0ZAb4M" TargetMode="External"/><Relationship Id="rId15" Type="http://schemas.openxmlformats.org/officeDocument/2006/relationships/hyperlink" Target="consultantplus://offline/ref=D78CA5B0125D88992C81C353D293DEB97D3E1B67C99893DE6A87A24BDA603635C3DD37208FA384F9D9E27E99BFA722993F9B8A0334A0ZAb4M" TargetMode="External"/><Relationship Id="rId10" Type="http://schemas.openxmlformats.org/officeDocument/2006/relationships/hyperlink" Target="consultantplus://offline/ref=D78CA5B0125D88992C81DD5EC4FF83BD7E374662C69C908134D8F9168D693C6284926E60CFA68CF28DB33ACBB9F17AC36A9396082AA1A86AE92CFCZ9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CA5B0125D88992C81C353D293DEB97D3E1A6CC39A93DE6A87A24BDA603635D1DD6F2E89A293F288AD38CCB3ZAbCM" TargetMode="External"/><Relationship Id="rId14" Type="http://schemas.openxmlformats.org/officeDocument/2006/relationships/hyperlink" Target="consultantplus://offline/ref=D78CA5B0125D88992C81C353D293DEB97F3F1069C49A93DE6A87A24BDA603635D1DD6F2E89A293F288AD38CCB3ZA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Анастасия Романовна</dc:creator>
  <cp:lastModifiedBy>Капитонова Анастасия Романовна</cp:lastModifiedBy>
  <cp:revision>1</cp:revision>
  <dcterms:created xsi:type="dcterms:W3CDTF">2019-05-29T12:27:00Z</dcterms:created>
  <dcterms:modified xsi:type="dcterms:W3CDTF">2019-05-29T12:36:00Z</dcterms:modified>
</cp:coreProperties>
</file>