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>П</w:t>
      </w:r>
      <w:r>
        <w:rPr>
          <w:rFonts w:ascii="Times New Roman CYR" w:hAnsi="Times New Roman CYR"/>
          <w:b w:val="1"/>
          <w:sz w:val="28"/>
        </w:rPr>
        <w:t>орядок</w:t>
      </w:r>
    </w:p>
    <w:p w14:paraId="02000000">
      <w:pPr>
        <w:spacing w:after="0" w:line="240" w:lineRule="auto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 xml:space="preserve"> проведения тестирования </w:t>
      </w:r>
    </w:p>
    <w:p w14:paraId="03000000">
      <w:pPr>
        <w:spacing w:after="0" w:line="240" w:lineRule="auto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 xml:space="preserve">в </w:t>
      </w:r>
      <w:r>
        <w:rPr>
          <w:rFonts w:ascii="Times New Roman CYR" w:hAnsi="Times New Roman CYR"/>
          <w:b w:val="1"/>
          <w:sz w:val="28"/>
        </w:rPr>
        <w:t>УФНС России по Тамбовской области</w:t>
      </w:r>
    </w:p>
    <w:p w14:paraId="04000000">
      <w:pPr>
        <w:spacing w:after="0" w:line="240" w:lineRule="auto"/>
        <w:ind/>
        <w:jc w:val="center"/>
        <w:rPr>
          <w:rFonts w:ascii="Times New Roman CYR" w:hAnsi="Times New Roman CYR"/>
          <w:b w:val="1"/>
          <w:i w:val="1"/>
          <w:sz w:val="28"/>
        </w:rPr>
      </w:pPr>
      <w:r>
        <w:rPr>
          <w:rFonts w:ascii="Times New Roman CYR" w:hAnsi="Times New Roman CYR"/>
          <w:b w:val="1"/>
          <w:i w:val="1"/>
          <w:sz w:val="28"/>
        </w:rPr>
        <w:t>Общие положения</w:t>
      </w:r>
    </w:p>
    <w:p w14:paraId="05000000">
      <w:pPr>
        <w:numPr>
          <w:numId w:val="1"/>
        </w:numPr>
        <w:spacing w:after="0" w:line="240" w:lineRule="auto"/>
        <w:ind w:firstLine="360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Тест</w:t>
      </w:r>
      <w:r>
        <w:rPr>
          <w:rFonts w:ascii="Times New Roman CYR" w:hAnsi="Times New Roman CYR"/>
          <w:sz w:val="28"/>
        </w:rPr>
        <w:t xml:space="preserve">ирование проводится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граждан и  </w:t>
      </w:r>
      <w:r>
        <w:rPr>
          <w:rFonts w:ascii="Times New Roman CYR" w:hAnsi="Times New Roman CYR"/>
          <w:sz w:val="28"/>
        </w:rPr>
        <w:t>гражданских служащих, изъявивший желание участвовать в конкурсе</w:t>
      </w:r>
      <w:r>
        <w:t xml:space="preserve"> </w:t>
      </w:r>
      <w:r>
        <w:rPr>
          <w:rFonts w:ascii="Times New Roman CYR" w:hAnsi="Times New Roman CYR"/>
          <w:sz w:val="28"/>
        </w:rPr>
        <w:t>на замещение вакантн</w:t>
      </w:r>
      <w:r>
        <w:rPr>
          <w:rFonts w:ascii="Times New Roman CYR" w:hAnsi="Times New Roman CYR"/>
          <w:sz w:val="28"/>
        </w:rPr>
        <w:t>ых должностей</w:t>
      </w:r>
      <w:r>
        <w:rPr>
          <w:rFonts w:ascii="Times New Roman CYR" w:hAnsi="Times New Roman CYR"/>
          <w:sz w:val="28"/>
        </w:rPr>
        <w:t xml:space="preserve"> государственной гражданской службы (далее – конкурс)</w:t>
      </w:r>
      <w:r>
        <w:rPr>
          <w:rFonts w:ascii="Times New Roman CYR" w:hAnsi="Times New Roman CYR"/>
          <w:sz w:val="28"/>
        </w:rPr>
        <w:t>.</w:t>
      </w:r>
    </w:p>
    <w:p w14:paraId="06000000">
      <w:pPr>
        <w:spacing w:after="0" w:line="240" w:lineRule="auto"/>
        <w:ind w:firstLine="36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>Целью тестирования является выявление уровня знаний у граждан</w:t>
      </w:r>
      <w:r>
        <w:rPr>
          <w:rFonts w:ascii="Times New Roman CYR" w:hAnsi="Times New Roman CYR"/>
          <w:sz w:val="28"/>
        </w:rPr>
        <w:t xml:space="preserve"> и гражданских служащих</w:t>
      </w:r>
      <w:r>
        <w:rPr>
          <w:rFonts w:ascii="Times New Roman CYR" w:hAnsi="Times New Roman CYR"/>
          <w:sz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14:paraId="07000000">
      <w:pPr>
        <w:spacing w:after="0" w:line="240" w:lineRule="auto"/>
        <w:ind w:firstLine="36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14:paraId="08000000">
      <w:pPr>
        <w:spacing w:after="0" w:line="240" w:lineRule="auto"/>
        <w:ind w:firstLine="36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>На основе тестовых вопросов, содержа</w:t>
      </w:r>
      <w:r>
        <w:rPr>
          <w:rFonts w:ascii="Times New Roman CYR" w:hAnsi="Times New Roman CYR"/>
          <w:sz w:val="28"/>
        </w:rPr>
        <w:t>щихся в базе тестовых вопросов</w:t>
      </w:r>
      <w:r>
        <w:rPr>
          <w:rFonts w:ascii="Times New Roman CYR" w:hAnsi="Times New Roman CYR"/>
          <w:sz w:val="28"/>
        </w:rPr>
        <w:t>, формируются индивидуальные тесты.</w:t>
      </w:r>
    </w:p>
    <w:p w14:paraId="09000000">
      <w:pPr>
        <w:spacing w:after="0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 xml:space="preserve">Количество тестовых вопросов в индивидуальном тесте составляет </w:t>
      </w:r>
      <w:r>
        <w:rPr>
          <w:rFonts w:ascii="Times New Roman CYR" w:hAnsi="Times New Roman CYR"/>
          <w:sz w:val="28"/>
        </w:rPr>
        <w:t>от 40 до 60</w:t>
      </w:r>
      <w:r>
        <w:rPr>
          <w:rFonts w:ascii="Times New Roman CYR" w:hAnsi="Times New Roman CYR"/>
          <w:sz w:val="28"/>
        </w:rPr>
        <w:t>, включая</w:t>
      </w:r>
      <w:r>
        <w:rPr>
          <w:rFonts w:ascii="Times New Roman CYR" w:hAnsi="Times New Roman CYR"/>
          <w:sz w:val="28"/>
        </w:rPr>
        <w:t xml:space="preserve"> вопросы на знание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 языка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 – русского языка;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>на знание законодательства о гражданской службе;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 противодействии коррупции;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знания и навыки в области информационно-коммуникационных технологий;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14:paraId="0A000000">
      <w:pPr>
        <w:spacing w:after="0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Время, отведенное на прохождение тестирования составляет 60 минут.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widowControl w:val="0"/>
        <w:spacing w:after="0" w:line="240" w:lineRule="auto"/>
        <w:ind w:firstLine="36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>О дате, времени и месте проведения тестирования претендент</w:t>
      </w:r>
      <w:r>
        <w:rPr>
          <w:rFonts w:ascii="Times New Roman CYR" w:hAnsi="Times New Roman CYR"/>
          <w:sz w:val="28"/>
        </w:rPr>
        <w:t xml:space="preserve">ы </w:t>
      </w:r>
      <w:r>
        <w:rPr>
          <w:rFonts w:ascii="Times New Roman CYR" w:hAnsi="Times New Roman CYR"/>
          <w:sz w:val="28"/>
        </w:rPr>
        <w:t>уведомля</w:t>
      </w:r>
      <w:r>
        <w:rPr>
          <w:rFonts w:ascii="Times New Roman CYR" w:hAnsi="Times New Roman CYR"/>
          <w:sz w:val="28"/>
        </w:rPr>
        <w:t>ю</w:t>
      </w:r>
      <w:r>
        <w:rPr>
          <w:rFonts w:ascii="Times New Roman CYR" w:hAnsi="Times New Roman CYR"/>
          <w:sz w:val="28"/>
        </w:rPr>
        <w:t>тся в письменной форме</w:t>
      </w:r>
      <w:r>
        <w:rPr>
          <w:rFonts w:ascii="Times New Roman CYR" w:hAnsi="Times New Roman CYR"/>
          <w:sz w:val="28"/>
        </w:rPr>
        <w:t xml:space="preserve"> (в</w:t>
      </w:r>
      <w:r>
        <w:rPr>
          <w:rFonts w:ascii="Times New Roman CYR" w:hAnsi="Times New Roman CYR"/>
          <w:sz w:val="28"/>
        </w:rPr>
        <w:t xml:space="preserve"> случае если </w:t>
      </w:r>
      <w:r>
        <w:rPr>
          <w:rFonts w:ascii="Times New Roman CYR" w:hAnsi="Times New Roman CYR"/>
          <w:sz w:val="28"/>
        </w:rPr>
        <w:t>претендент</w:t>
      </w:r>
      <w:r>
        <w:rPr>
          <w:rFonts w:ascii="Times New Roman CYR" w:hAnsi="Times New Roman CYR"/>
          <w:sz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/>
          <w:sz w:val="28"/>
        </w:rPr>
        <w:t>уведомление</w:t>
      </w:r>
      <w:r>
        <w:rPr>
          <w:rFonts w:ascii="Times New Roman CYR" w:hAnsi="Times New Roman CYR"/>
          <w:sz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/>
          <w:sz w:val="28"/>
        </w:rPr>
        <w:t>)</w:t>
      </w:r>
      <w:r>
        <w:rPr>
          <w:rFonts w:ascii="Times New Roman CYR" w:hAnsi="Times New Roman CYR"/>
          <w:sz w:val="28"/>
        </w:rPr>
        <w:t xml:space="preserve">. </w:t>
      </w:r>
    </w:p>
    <w:p w14:paraId="0C000000">
      <w:pPr>
        <w:widowControl w:val="0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</w:p>
    <w:p w14:paraId="0D000000">
      <w:pPr>
        <w:widowControl w:val="0"/>
        <w:spacing w:after="0" w:line="240" w:lineRule="auto"/>
        <w:ind w:firstLine="709"/>
        <w:jc w:val="center"/>
        <w:rPr>
          <w:rFonts w:ascii="Times New Roman CYR" w:hAnsi="Times New Roman CYR"/>
          <w:b w:val="1"/>
          <w:i w:val="1"/>
          <w:sz w:val="28"/>
        </w:rPr>
      </w:pPr>
      <w:r>
        <w:rPr>
          <w:rFonts w:ascii="Times New Roman CYR" w:hAnsi="Times New Roman CYR"/>
          <w:b w:val="1"/>
          <w:i w:val="1"/>
          <w:sz w:val="28"/>
        </w:rPr>
        <w:t>Подготовка к проведению тестирования</w:t>
      </w:r>
    </w:p>
    <w:p w14:paraId="0E000000">
      <w:pPr>
        <w:widowControl w:val="0"/>
        <w:spacing w:after="0" w:line="240" w:lineRule="auto"/>
        <w:ind w:firstLine="426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>Допуск претендентов к тестированию осуществля</w:t>
      </w:r>
      <w:r>
        <w:rPr>
          <w:rFonts w:ascii="Times New Roman CYR" w:hAnsi="Times New Roman CYR"/>
          <w:sz w:val="28"/>
        </w:rPr>
        <w:t>ется</w:t>
      </w:r>
      <w:r>
        <w:rPr>
          <w:rFonts w:ascii="Times New Roman CYR" w:hAnsi="Times New Roman CYR"/>
          <w:sz w:val="28"/>
        </w:rPr>
        <w:t xml:space="preserve"> по документам, удостоверяющим их личность. </w:t>
      </w:r>
    </w:p>
    <w:p w14:paraId="0F000000">
      <w:pPr>
        <w:spacing w:after="0" w:line="240" w:lineRule="auto"/>
        <w:ind w:firstLine="426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</w:rPr>
        <w:t xml:space="preserve">В </w:t>
      </w:r>
      <w:r>
        <w:rPr>
          <w:rFonts w:ascii="Times New Roman CYR" w:hAnsi="Times New Roman CYR"/>
          <w:color w:val="000000"/>
          <w:sz w:val="28"/>
        </w:rPr>
        <w:t xml:space="preserve">качестве </w:t>
      </w:r>
      <w:r>
        <w:rPr>
          <w:rFonts w:ascii="Times New Roman CYR" w:hAnsi="Times New Roman CYR"/>
          <w:color w:val="000000"/>
          <w:sz w:val="28"/>
        </w:rPr>
        <w:t>аудитори</w:t>
      </w:r>
      <w:r>
        <w:rPr>
          <w:rFonts w:ascii="Times New Roman CYR" w:hAnsi="Times New Roman CYR"/>
          <w:color w:val="000000"/>
          <w:sz w:val="28"/>
        </w:rPr>
        <w:t>и</w:t>
      </w:r>
      <w:r>
        <w:rPr>
          <w:rFonts w:ascii="Times New Roman CYR" w:hAnsi="Times New Roman CYR"/>
          <w:color w:val="000000"/>
          <w:sz w:val="28"/>
        </w:rPr>
        <w:t xml:space="preserve"> для проведения тестирования </w:t>
      </w:r>
      <w:r>
        <w:rPr>
          <w:rFonts w:ascii="Times New Roman CYR" w:hAnsi="Times New Roman CYR"/>
          <w:color w:val="000000"/>
          <w:sz w:val="28"/>
        </w:rPr>
        <w:t xml:space="preserve">планируется использовать </w:t>
      </w:r>
      <w:r>
        <w:rPr>
          <w:rFonts w:ascii="Times New Roman CYR" w:hAnsi="Times New Roman CYR"/>
          <w:color w:val="000000"/>
          <w:sz w:val="28"/>
        </w:rPr>
        <w:t xml:space="preserve">кабинет № </w:t>
      </w:r>
      <w:r>
        <w:rPr>
          <w:rFonts w:ascii="Times New Roman CYR" w:hAnsi="Times New Roman CYR"/>
          <w:color w:val="FF0000"/>
          <w:sz w:val="28"/>
        </w:rPr>
        <w:t>201</w:t>
      </w:r>
      <w:r>
        <w:rPr>
          <w:rFonts w:ascii="Times New Roman CYR" w:hAnsi="Times New Roman CYR"/>
          <w:color w:val="FF0000"/>
          <w:sz w:val="28"/>
        </w:rPr>
        <w:t>.</w:t>
      </w:r>
    </w:p>
    <w:p w14:paraId="10000000">
      <w:pPr>
        <w:spacing w:after="0" w:line="240" w:lineRule="auto"/>
        <w:ind w:firstLine="426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Каждый тестируемый обеспечивается </w:t>
      </w:r>
      <w:r>
        <w:rPr>
          <w:rFonts w:ascii="Times New Roman CYR" w:hAnsi="Times New Roman CYR"/>
          <w:sz w:val="28"/>
        </w:rPr>
        <w:t>бланком индивидуального теста.</w:t>
      </w:r>
    </w:p>
    <w:p w14:paraId="11000000">
      <w:pPr>
        <w:spacing w:after="0" w:line="240" w:lineRule="auto"/>
        <w:ind w:firstLine="36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 CYR" w:hAnsi="Times New Roman CYR"/>
          <w:sz w:val="28"/>
        </w:rPr>
        <w:t xml:space="preserve">На время проведения тестирования </w:t>
      </w:r>
      <w:r>
        <w:rPr>
          <w:rFonts w:ascii="Times New Roman CYR" w:hAnsi="Times New Roman CYR"/>
          <w:sz w:val="28"/>
        </w:rPr>
        <w:t>претендент</w:t>
      </w:r>
      <w:r>
        <w:rPr>
          <w:rFonts w:ascii="Times New Roman CYR" w:hAnsi="Times New Roman CYR"/>
          <w:sz w:val="28"/>
        </w:rPr>
        <w:t>ам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запре</w:t>
      </w:r>
      <w:r>
        <w:rPr>
          <w:rFonts w:ascii="Times New Roman CYR" w:hAnsi="Times New Roman CYR"/>
          <w:sz w:val="28"/>
        </w:rPr>
        <w:t>щается</w:t>
      </w:r>
      <w:r>
        <w:rPr>
          <w:rFonts w:ascii="Times New Roman CYR" w:hAnsi="Times New Roman CYR"/>
          <w:sz w:val="28"/>
        </w:rPr>
        <w:t>:</w:t>
      </w:r>
    </w:p>
    <w:p w14:paraId="12000000">
      <w:pPr>
        <w:numPr>
          <w:numId w:val="2"/>
        </w:numPr>
        <w:spacing w:after="0" w:line="240" w:lineRule="auto"/>
        <w:ind w:firstLine="360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использовать </w:t>
      </w:r>
      <w:r>
        <w:rPr>
          <w:rFonts w:ascii="Times New Roman CYR" w:hAnsi="Times New Roman CYR"/>
          <w:sz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>
        <w:rPr>
          <w:rFonts w:ascii="Times New Roman CYR" w:hAnsi="Times New Roman CYR"/>
          <w:sz w:val="28"/>
        </w:rPr>
        <w:t>хранения и передачи информации;</w:t>
      </w:r>
    </w:p>
    <w:p w14:paraId="13000000">
      <w:pPr>
        <w:numPr>
          <w:numId w:val="2"/>
        </w:numPr>
        <w:spacing w:after="0" w:line="240" w:lineRule="auto"/>
        <w:ind w:firstLine="360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выносить из </w:t>
      </w:r>
      <w:r>
        <w:rPr>
          <w:rFonts w:ascii="Times New Roman CYR" w:hAnsi="Times New Roman CYR"/>
          <w:sz w:val="28"/>
        </w:rPr>
        <w:t>кабинета</w:t>
      </w:r>
      <w:r>
        <w:rPr>
          <w:rFonts w:ascii="Times New Roman CYR" w:hAnsi="Times New Roman CYR"/>
          <w:sz w:val="28"/>
        </w:rPr>
        <w:t xml:space="preserve"> материалы, содержащие информацию, полученную в ходе тестирования, на бума</w:t>
      </w:r>
      <w:r>
        <w:rPr>
          <w:rFonts w:ascii="Times New Roman CYR" w:hAnsi="Times New Roman CYR"/>
          <w:sz w:val="28"/>
        </w:rPr>
        <w:t>жном или электронном носителях;</w:t>
      </w:r>
    </w:p>
    <w:p w14:paraId="14000000">
      <w:pPr>
        <w:numPr>
          <w:numId w:val="2"/>
        </w:numPr>
        <w:spacing w:after="0" w:line="240" w:lineRule="auto"/>
        <w:ind w:hanging="360" w:left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разговаривать между собой;</w:t>
      </w:r>
    </w:p>
    <w:p w14:paraId="15000000">
      <w:pPr>
        <w:numPr>
          <w:numId w:val="2"/>
        </w:numPr>
        <w:spacing w:after="0" w:line="240" w:lineRule="auto"/>
        <w:ind w:firstLine="218" w:left="142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14:paraId="16000000">
      <w:pPr>
        <w:numPr>
          <w:numId w:val="2"/>
        </w:numPr>
        <w:spacing w:after="0" w:line="240" w:lineRule="auto"/>
        <w:ind w:hanging="360" w:left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обмениваться любыми материалами и предметами между собой;</w:t>
      </w:r>
    </w:p>
    <w:p w14:paraId="17000000">
      <w:pPr>
        <w:numPr>
          <w:numId w:val="2"/>
        </w:numPr>
        <w:spacing w:after="0" w:line="240" w:lineRule="auto"/>
        <w:ind w:hanging="360" w:left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выходить из </w:t>
      </w:r>
      <w:r>
        <w:rPr>
          <w:rFonts w:ascii="Times New Roman CYR" w:hAnsi="Times New Roman CYR"/>
          <w:sz w:val="28"/>
        </w:rPr>
        <w:t>кабинета</w:t>
      </w:r>
      <w:r>
        <w:rPr>
          <w:rFonts w:ascii="Times New Roman CYR" w:hAnsi="Times New Roman CYR"/>
          <w:sz w:val="28"/>
        </w:rPr>
        <w:t xml:space="preserve"> без сопровождающего и перемещаться по ней. </w:t>
      </w:r>
    </w:p>
    <w:p w14:paraId="1800000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случае нарушения </w:t>
      </w:r>
      <w:r>
        <w:rPr>
          <w:rFonts w:ascii="Times New Roman CYR" w:hAnsi="Times New Roman CYR"/>
          <w:sz w:val="28"/>
        </w:rPr>
        <w:t>претендентом</w:t>
      </w:r>
      <w:r>
        <w:rPr>
          <w:rFonts w:ascii="Times New Roman CYR" w:hAnsi="Times New Roman CYR"/>
          <w:sz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14:paraId="1900000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</w:p>
    <w:p w14:paraId="1A000000">
      <w:pPr>
        <w:spacing w:after="0" w:line="240" w:lineRule="auto"/>
        <w:ind w:firstLine="0" w:left="709"/>
        <w:jc w:val="center"/>
        <w:rPr>
          <w:rFonts w:ascii="Times New Roman CYR" w:hAnsi="Times New Roman CYR"/>
          <w:b w:val="1"/>
          <w:i w:val="1"/>
          <w:sz w:val="28"/>
        </w:rPr>
      </w:pPr>
      <w:r>
        <w:rPr>
          <w:rFonts w:ascii="Times New Roman CYR" w:hAnsi="Times New Roman CYR"/>
          <w:b w:val="1"/>
          <w:i w:val="1"/>
          <w:sz w:val="28"/>
        </w:rPr>
        <w:t>Проведение тестирования</w:t>
      </w:r>
    </w:p>
    <w:p w14:paraId="1B000000">
      <w:pPr>
        <w:spacing w:after="0" w:line="240" w:lineRule="auto"/>
        <w:ind w:firstLine="708" w:left="0"/>
        <w:jc w:val="both"/>
        <w:rPr>
          <w:rFonts w:ascii="Times New Roman CYR" w:hAnsi="Times New Roman CYR"/>
          <w:b w:val="1"/>
          <w:sz w:val="28"/>
          <w:u w:val="single"/>
        </w:rPr>
      </w:pPr>
      <w:r>
        <w:rPr>
          <w:rFonts w:ascii="Times New Roman CYR" w:hAnsi="Times New Roman CYR"/>
          <w:b w:val="1"/>
          <w:sz w:val="28"/>
          <w:u w:val="single"/>
        </w:rPr>
        <w:t>12</w:t>
      </w:r>
      <w:r>
        <w:rPr>
          <w:rFonts w:ascii="Times New Roman CYR" w:hAnsi="Times New Roman CYR"/>
          <w:b w:val="1"/>
          <w:sz w:val="28"/>
          <w:u w:val="single"/>
        </w:rPr>
        <w:t>. </w:t>
      </w:r>
      <w:r>
        <w:rPr>
          <w:rFonts w:ascii="Times New Roman CYR" w:hAnsi="Times New Roman CYR"/>
          <w:b w:val="1"/>
          <w:sz w:val="28"/>
          <w:u w:val="single"/>
        </w:rPr>
        <w:t>Тестирование</w:t>
      </w:r>
      <w:r>
        <w:rPr>
          <w:rFonts w:ascii="Times New Roman CYR" w:hAnsi="Times New Roman CYR"/>
          <w:b w:val="1"/>
          <w:sz w:val="28"/>
          <w:u w:val="single"/>
        </w:rPr>
        <w:t xml:space="preserve"> может </w:t>
      </w:r>
      <w:r>
        <w:rPr>
          <w:rFonts w:ascii="Times New Roman CYR" w:hAnsi="Times New Roman CYR"/>
          <w:b w:val="1"/>
          <w:sz w:val="28"/>
          <w:u w:val="single"/>
        </w:rPr>
        <w:t>осуществля</w:t>
      </w:r>
      <w:r>
        <w:rPr>
          <w:rFonts w:ascii="Times New Roman CYR" w:hAnsi="Times New Roman CYR"/>
          <w:b w:val="1"/>
          <w:sz w:val="28"/>
          <w:u w:val="single"/>
        </w:rPr>
        <w:t xml:space="preserve">ться как </w:t>
      </w:r>
      <w:r>
        <w:rPr>
          <w:rFonts w:ascii="Times New Roman CYR" w:hAnsi="Times New Roman CYR"/>
          <w:b w:val="1"/>
          <w:sz w:val="28"/>
          <w:u w:val="single"/>
        </w:rPr>
        <w:t>на бумажном носителе</w:t>
      </w:r>
      <w:r>
        <w:rPr>
          <w:rFonts w:ascii="Times New Roman CYR" w:hAnsi="Times New Roman CYR"/>
          <w:b w:val="1"/>
          <w:sz w:val="28"/>
          <w:u w:val="single"/>
        </w:rPr>
        <w:t>, так и в</w:t>
      </w:r>
      <w:r>
        <w:rPr>
          <w:b w:val="1"/>
          <w:u w:val="single"/>
        </w:rPr>
        <w:t xml:space="preserve"> </w:t>
      </w:r>
      <w:r>
        <w:rPr>
          <w:rFonts w:ascii="Times New Roman CYR" w:hAnsi="Times New Roman CYR"/>
          <w:b w:val="1"/>
          <w:sz w:val="28"/>
          <w:u w:val="single"/>
        </w:rPr>
        <w:t>форме компьютерного тестирования</w:t>
      </w:r>
      <w:r>
        <w:rPr>
          <w:rFonts w:ascii="Times New Roman CYR" w:hAnsi="Times New Roman CYR"/>
          <w:b w:val="1"/>
          <w:sz w:val="28"/>
          <w:u w:val="single"/>
        </w:rPr>
        <w:t xml:space="preserve">. </w:t>
      </w:r>
    </w:p>
    <w:p w14:paraId="1C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13</w:t>
      </w:r>
      <w:r>
        <w:rPr>
          <w:rFonts w:ascii="Times New Roman CYR" w:hAnsi="Times New Roman CYR"/>
          <w:sz w:val="28"/>
        </w:rPr>
        <w:t>. </w:t>
      </w:r>
      <w:r>
        <w:rPr>
          <w:rFonts w:ascii="Times New Roman CYR" w:hAnsi="Times New Roman CYR"/>
          <w:sz w:val="28"/>
        </w:rPr>
        <w:t>Претендентам</w:t>
      </w:r>
      <w:r>
        <w:rPr>
          <w:rFonts w:ascii="Times New Roman CYR" w:hAnsi="Times New Roman CYR"/>
          <w:sz w:val="28"/>
        </w:rPr>
        <w:t xml:space="preserve"> следует соблюдать порядок проведения тестирования и следовать указаниям </w:t>
      </w:r>
      <w:r>
        <w:rPr>
          <w:rFonts w:ascii="Times New Roman CYR" w:hAnsi="Times New Roman CYR"/>
          <w:sz w:val="28"/>
        </w:rPr>
        <w:t>должностных лиц</w:t>
      </w:r>
      <w:r>
        <w:rPr>
          <w:rFonts w:ascii="Times New Roman CYR" w:hAnsi="Times New Roman CYR"/>
          <w:sz w:val="28"/>
        </w:rPr>
        <w:t xml:space="preserve"> структурного подразделения</w:t>
      </w:r>
      <w:r>
        <w:rPr>
          <w:rFonts w:ascii="Times New Roman CYR" w:hAnsi="Times New Roman CYR"/>
          <w:sz w:val="28"/>
        </w:rPr>
        <w:t>,</w:t>
      </w:r>
      <w:r>
        <w:t xml:space="preserve"> </w:t>
      </w:r>
      <w:r>
        <w:rPr>
          <w:rFonts w:ascii="Times New Roman CYR" w:hAnsi="Times New Roman CYR"/>
          <w:sz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/>
          <w:sz w:val="28"/>
        </w:rPr>
        <w:t>, (далее –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организатор</w:t>
      </w:r>
      <w:r>
        <w:rPr>
          <w:rFonts w:ascii="Times New Roman CYR" w:hAnsi="Times New Roman CYR"/>
          <w:sz w:val="28"/>
        </w:rPr>
        <w:t>)</w:t>
      </w:r>
      <w:r>
        <w:rPr>
          <w:rFonts w:ascii="Times New Roman CYR" w:hAnsi="Times New Roman CYR"/>
          <w:sz w:val="28"/>
        </w:rPr>
        <w:t>, а организаторам – обеспечивать порядок проведения тестирования.</w:t>
      </w:r>
    </w:p>
    <w:p w14:paraId="1D000000">
      <w:pPr>
        <w:tabs>
          <w:tab w:leader="none" w:pos="1276" w:val="left"/>
        </w:tabs>
        <w:spacing w:after="0" w:line="240" w:lineRule="auto"/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14</w:t>
      </w:r>
      <w:r>
        <w:rPr>
          <w:rFonts w:ascii="Times New Roman CYR" w:hAnsi="Times New Roman CYR"/>
          <w:sz w:val="28"/>
        </w:rPr>
        <w:t>. </w:t>
      </w:r>
      <w:r>
        <w:rPr>
          <w:rFonts w:ascii="Times New Roman CYR" w:hAnsi="Times New Roman CYR"/>
          <w:sz w:val="28"/>
        </w:rPr>
        <w:t xml:space="preserve">Перед началом проведения тестирования проводится инструктаж о порядке заполнения теста </w:t>
      </w:r>
      <w:r>
        <w:rPr>
          <w:rFonts w:ascii="Times New Roman CYR" w:hAnsi="Times New Roman CYR"/>
          <w:sz w:val="28"/>
        </w:rPr>
        <w:t>на бумажном носителе</w:t>
      </w:r>
      <w:r>
        <w:rPr>
          <w:rFonts w:ascii="Times New Roman CYR" w:hAnsi="Times New Roman CYR"/>
          <w:sz w:val="28"/>
        </w:rPr>
        <w:t>,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разъясн</w:t>
      </w:r>
      <w:r>
        <w:rPr>
          <w:rFonts w:ascii="Times New Roman CYR" w:hAnsi="Times New Roman CYR"/>
          <w:sz w:val="28"/>
        </w:rPr>
        <w:t>яются</w:t>
      </w:r>
      <w:r>
        <w:rPr>
          <w:rFonts w:ascii="Times New Roman CYR" w:hAnsi="Times New Roman CYR"/>
          <w:sz w:val="28"/>
        </w:rPr>
        <w:t xml:space="preserve"> критери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 подведения итогов тестирования и информация о запрет</w:t>
      </w:r>
      <w:r>
        <w:rPr>
          <w:rFonts w:ascii="Times New Roman CYR" w:hAnsi="Times New Roman CYR"/>
          <w:sz w:val="28"/>
        </w:rPr>
        <w:t>ах при проведении тестирования.</w:t>
      </w:r>
    </w:p>
    <w:p w14:paraId="1E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15</w:t>
      </w:r>
      <w:r>
        <w:rPr>
          <w:rFonts w:ascii="Times New Roman CYR" w:hAnsi="Times New Roman CYR"/>
          <w:sz w:val="28"/>
        </w:rPr>
        <w:t>. 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кабинете</w:t>
      </w:r>
      <w:r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 xml:space="preserve">при </w:t>
      </w:r>
      <w:r>
        <w:rPr>
          <w:rFonts w:ascii="Times New Roman CYR" w:hAnsi="Times New Roman CYR"/>
          <w:sz w:val="28"/>
        </w:rPr>
        <w:t>пров</w:t>
      </w:r>
      <w:r>
        <w:rPr>
          <w:rFonts w:ascii="Times New Roman CYR" w:hAnsi="Times New Roman CYR"/>
          <w:sz w:val="28"/>
        </w:rPr>
        <w:t>едении</w:t>
      </w:r>
      <w:r>
        <w:rPr>
          <w:rFonts w:ascii="Times New Roman CYR" w:hAnsi="Times New Roman CYR"/>
          <w:sz w:val="28"/>
        </w:rPr>
        <w:t xml:space="preserve"> тестировани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, допускается присутствие </w:t>
      </w:r>
      <w:r>
        <w:rPr>
          <w:rFonts w:ascii="Times New Roman CYR" w:hAnsi="Times New Roman CYR"/>
          <w:sz w:val="28"/>
        </w:rPr>
        <w:t xml:space="preserve">только </w:t>
      </w:r>
      <w:r>
        <w:rPr>
          <w:rFonts w:ascii="Times New Roman CYR" w:hAnsi="Times New Roman CYR"/>
          <w:sz w:val="28"/>
        </w:rPr>
        <w:t>организаторов</w:t>
      </w:r>
      <w:r>
        <w:rPr>
          <w:rFonts w:ascii="Times New Roman CYR" w:hAnsi="Times New Roman CYR"/>
          <w:sz w:val="28"/>
        </w:rPr>
        <w:t xml:space="preserve"> (представителей конкурсной комиссии)</w:t>
      </w:r>
      <w:r>
        <w:rPr>
          <w:rFonts w:ascii="Times New Roman CYR" w:hAnsi="Times New Roman CYR"/>
          <w:sz w:val="28"/>
        </w:rPr>
        <w:t xml:space="preserve"> и</w:t>
      </w:r>
      <w:r>
        <w:rPr>
          <w:rFonts w:ascii="Times New Roman CYR" w:hAnsi="Times New Roman CYR"/>
          <w:sz w:val="28"/>
        </w:rPr>
        <w:t xml:space="preserve"> лиц, проходящих тестирование</w:t>
      </w:r>
      <w:r>
        <w:rPr>
          <w:rFonts w:ascii="Times New Roman CYR" w:hAnsi="Times New Roman CYR"/>
          <w:sz w:val="28"/>
        </w:rPr>
        <w:t>.</w:t>
      </w:r>
    </w:p>
    <w:p w14:paraId="1F000000">
      <w:pPr>
        <w:spacing w:after="0" w:line="240" w:lineRule="auto"/>
        <w:ind w:firstLine="0" w:left="709"/>
        <w:jc w:val="center"/>
        <w:rPr>
          <w:rFonts w:ascii="Times New Roman CYR" w:hAnsi="Times New Roman CYR"/>
          <w:b w:val="1"/>
          <w:i w:val="1"/>
          <w:sz w:val="28"/>
        </w:rPr>
      </w:pPr>
      <w:r>
        <w:rPr>
          <w:rFonts w:ascii="Times New Roman CYR" w:hAnsi="Times New Roman CYR"/>
          <w:b w:val="1"/>
          <w:i w:val="1"/>
          <w:sz w:val="28"/>
        </w:rPr>
        <w:t xml:space="preserve">Подведение итогов тестирования </w:t>
      </w:r>
    </w:p>
    <w:p w14:paraId="20000000">
      <w:pPr>
        <w:tabs>
          <w:tab w:leader="none" w:pos="1134" w:val="left"/>
        </w:tabs>
        <w:spacing w:after="0" w:line="240" w:lineRule="auto"/>
        <w:ind w:firstLine="0" w:left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16</w:t>
      </w:r>
      <w:r>
        <w:rPr>
          <w:rFonts w:ascii="Times New Roman CYR" w:hAnsi="Times New Roman CYR"/>
          <w:sz w:val="28"/>
        </w:rPr>
        <w:t>. </w:t>
      </w:r>
      <w:r>
        <w:rPr>
          <w:rFonts w:ascii="Times New Roman CYR" w:hAnsi="Times New Roman CYR"/>
          <w:sz w:val="28"/>
        </w:rPr>
        <w:t xml:space="preserve">Проверка тестов </w:t>
      </w:r>
      <w:r>
        <w:rPr>
          <w:rFonts w:ascii="Times New Roman CYR" w:hAnsi="Times New Roman CYR"/>
          <w:sz w:val="28"/>
        </w:rPr>
        <w:t>осуществляется организатором.</w:t>
      </w:r>
    </w:p>
    <w:p w14:paraId="21000000">
      <w:pPr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17</w:t>
      </w:r>
      <w:r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  <w:sz w:val="28"/>
        </w:rPr>
        <w:t>Подведение результатов тестирования основывается на количестве правильных ответов.</w:t>
      </w:r>
    </w:p>
    <w:p w14:paraId="2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18</w:t>
      </w:r>
      <w:r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  <w:sz w:val="28"/>
        </w:rPr>
        <w:t xml:space="preserve">Тестирование считается пройденным, если </w:t>
      </w:r>
      <w:r>
        <w:rPr>
          <w:rFonts w:ascii="Times New Roman CYR" w:hAnsi="Times New Roman CYR"/>
          <w:sz w:val="28"/>
        </w:rPr>
        <w:t>претендент</w:t>
      </w:r>
      <w:r>
        <w:rPr>
          <w:rFonts w:ascii="Times New Roman CYR" w:hAnsi="Times New Roman CYR"/>
          <w:sz w:val="28"/>
        </w:rPr>
        <w:t xml:space="preserve"> правильно ответил на </w:t>
      </w:r>
      <w:r>
        <w:rPr>
          <w:rFonts w:ascii="Times New Roman CYR" w:hAnsi="Times New Roman CYR"/>
          <w:b w:val="1"/>
          <w:sz w:val="28"/>
        </w:rPr>
        <w:t xml:space="preserve">70 </w:t>
      </w:r>
      <w:r>
        <w:rPr>
          <w:rFonts w:ascii="Times New Roman CYR" w:hAnsi="Times New Roman CYR"/>
          <w:sz w:val="28"/>
        </w:rPr>
        <w:t>и более процентов заданных вопросов.</w:t>
      </w:r>
    </w:p>
    <w:p w14:paraId="23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19</w:t>
      </w:r>
      <w:r>
        <w:rPr>
          <w:rFonts w:ascii="Times New Roman CYR" w:hAnsi="Times New Roman CYR"/>
          <w:sz w:val="28"/>
        </w:rPr>
        <w:t>. </w:t>
      </w:r>
      <w:r>
        <w:rPr>
          <w:rFonts w:ascii="Times New Roman CYR" w:hAnsi="Times New Roman CYR"/>
          <w:sz w:val="28"/>
        </w:rPr>
        <w:t xml:space="preserve">Организатор, </w:t>
      </w:r>
      <w:r>
        <w:rPr>
          <w:rFonts w:ascii="Times New Roman CYR" w:hAnsi="Times New Roman CYR"/>
          <w:sz w:val="28"/>
        </w:rPr>
        <w:t xml:space="preserve">не позднее 3 рабочих дней до </w:t>
      </w:r>
      <w:r>
        <w:rPr>
          <w:rFonts w:ascii="Times New Roman CYR" w:hAnsi="Times New Roman CYR"/>
          <w:sz w:val="28"/>
        </w:rPr>
        <w:t>проведения инди</w:t>
      </w:r>
      <w:r>
        <w:rPr>
          <w:rFonts w:ascii="Times New Roman CYR" w:hAnsi="Times New Roman CYR"/>
          <w:sz w:val="28"/>
        </w:rPr>
        <w:t>видуального собеседования,</w:t>
      </w:r>
      <w:r>
        <w:rPr>
          <w:rFonts w:ascii="Times New Roman CYR" w:hAnsi="Times New Roman CYR"/>
          <w:sz w:val="28"/>
        </w:rPr>
        <w:t xml:space="preserve"> представляет</w:t>
      </w:r>
      <w:r>
        <w:rPr>
          <w:rFonts w:ascii="Times New Roman CYR" w:hAnsi="Times New Roman CYR"/>
          <w:sz w:val="28"/>
        </w:rPr>
        <w:t xml:space="preserve"> ч</w:t>
      </w:r>
      <w:r>
        <w:rPr>
          <w:rFonts w:ascii="Times New Roman CYR" w:hAnsi="Times New Roman CYR"/>
          <w:sz w:val="28"/>
        </w:rPr>
        <w:t>лен</w:t>
      </w:r>
      <w:r>
        <w:rPr>
          <w:rFonts w:ascii="Times New Roman CYR" w:hAnsi="Times New Roman CYR"/>
          <w:sz w:val="28"/>
        </w:rPr>
        <w:t>ам</w:t>
      </w:r>
      <w:r>
        <w:rPr>
          <w:rFonts w:ascii="Times New Roman CYR" w:hAnsi="Times New Roman CYR"/>
          <w:sz w:val="28"/>
        </w:rPr>
        <w:t xml:space="preserve"> конкурсной комиссии </w:t>
      </w:r>
      <w:r>
        <w:rPr>
          <w:rFonts w:ascii="Times New Roman CYR" w:hAnsi="Times New Roman CYR"/>
          <w:sz w:val="28"/>
        </w:rPr>
        <w:t>бланки тестов с проставленным количеством правильных ответов.</w:t>
      </w:r>
    </w:p>
    <w:p w14:paraId="2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sectPr>
      <w:pgSz w:h="16840" w:w="11907"/>
      <w:pgMar w:bottom="567" w:footer="397" w:gutter="0" w:header="397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="Calibri" w:hAnsi="Calibri"/>
      <w:sz w:val="22"/>
    </w:rPr>
  </w:style>
  <w:style w:default="1" w:styleId="Style_1_ch" w:type="character">
    <w:name w:val="Normal"/>
    <w:link w:val="Style_1"/>
    <w:rPr>
      <w:rFonts w:ascii="Calibri" w:hAnsi="Calibri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List Paragraph"/>
    <w:basedOn w:val="Style_1"/>
    <w:link w:val="Style_7_ch"/>
    <w:pPr>
      <w:ind w:firstLine="0" w:left="720"/>
      <w:jc w:val="left"/>
    </w:pPr>
  </w:style>
  <w:style w:styleId="Style_7_ch" w:type="character">
    <w:name w:val="List Paragraph"/>
    <w:basedOn w:val="Style_1_ch"/>
    <w:link w:val="Style_7"/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  <w:jc w:val="left"/>
    </w:pPr>
  </w:style>
  <w:style w:styleId="Style_8_ch" w:type="character">
    <w:name w:val="header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footer"/>
    <w:basedOn w:val="Style_1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  <w:jc w:val="left"/>
    </w:pPr>
  </w:style>
  <w:style w:styleId="Style_10_ch" w:type="character">
    <w:name w:val="footer"/>
    <w:basedOn w:val="Style_1_ch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Balloon Text"/>
    <w:basedOn w:val="Style_1"/>
    <w:link w:val="Style_20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0_ch" w:type="character">
    <w:name w:val="Balloon Text"/>
    <w:basedOn w:val="Style_1_ch"/>
    <w:link w:val="Style_20"/>
    <w:rPr>
      <w:rFonts w:ascii="Segoe UI" w:hAnsi="Segoe UI"/>
      <w:sz w:val="18"/>
    </w:rPr>
  </w:style>
  <w:style w:styleId="Style_21" w:type="paragraph">
    <w:name w:val="toc 5"/>
    <w:next w:val="Style_1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2021-10-01T07:40:30Z</dcterms:modified>
</cp:coreProperties>
</file>