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512E70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 w:rsidRPr="00512E70"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Pr="00512E70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 w:rsidRPr="00512E70"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7B1A7A" w:rsidRPr="00512E70">
        <w:rPr>
          <w:rFonts w:ascii="Times New Roman CYR" w:hAnsi="Times New Roman CYR" w:cs="Times New Roman CYR"/>
          <w:bCs/>
          <w:sz w:val="24"/>
          <w:szCs w:val="24"/>
        </w:rPr>
        <w:t>У</w:t>
      </w:r>
      <w:r w:rsidRPr="00512E70">
        <w:rPr>
          <w:rFonts w:ascii="Times New Roman CYR" w:hAnsi="Times New Roman CYR" w:cs="Times New Roman CYR"/>
          <w:bCs/>
          <w:sz w:val="24"/>
          <w:szCs w:val="24"/>
        </w:rPr>
        <w:t>ФНС России</w:t>
      </w:r>
      <w:r w:rsidR="007B1A7A" w:rsidRPr="00512E70">
        <w:rPr>
          <w:rFonts w:ascii="Times New Roman CYR" w:hAnsi="Times New Roman CYR" w:cs="Times New Roman CYR"/>
          <w:bCs/>
          <w:sz w:val="24"/>
          <w:szCs w:val="24"/>
        </w:rPr>
        <w:t xml:space="preserve">  по Ставропольскому краю </w:t>
      </w:r>
    </w:p>
    <w:p w:rsidR="006D62F7" w:rsidRPr="00512E70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 w:rsidRPr="00512E70">
        <w:rPr>
          <w:rFonts w:ascii="Times New Roman CYR" w:hAnsi="Times New Roman CYR" w:cs="Times New Roman CYR"/>
          <w:bCs/>
          <w:sz w:val="24"/>
          <w:szCs w:val="24"/>
        </w:rPr>
        <w:t>от «</w:t>
      </w:r>
      <w:r w:rsidR="00931070">
        <w:rPr>
          <w:rFonts w:ascii="Times New Roman CYR" w:hAnsi="Times New Roman CYR" w:cs="Times New Roman CYR"/>
          <w:bCs/>
          <w:sz w:val="24"/>
          <w:szCs w:val="24"/>
          <w:lang w:val="en-US"/>
        </w:rPr>
        <w:t>15</w:t>
      </w:r>
      <w:r w:rsidRPr="00512E70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931070">
        <w:rPr>
          <w:rFonts w:ascii="Times New Roman CYR" w:hAnsi="Times New Roman CYR" w:cs="Times New Roman CYR"/>
          <w:bCs/>
          <w:sz w:val="24"/>
          <w:szCs w:val="24"/>
        </w:rPr>
        <w:t xml:space="preserve">июля </w:t>
      </w:r>
      <w:r w:rsidRPr="00512E70">
        <w:rPr>
          <w:rFonts w:ascii="Times New Roman CYR" w:hAnsi="Times New Roman CYR" w:cs="Times New Roman CYR"/>
          <w:bCs/>
          <w:sz w:val="24"/>
          <w:szCs w:val="24"/>
        </w:rPr>
        <w:t>2014 г.</w:t>
      </w:r>
    </w:p>
    <w:p w:rsidR="006D62F7" w:rsidRPr="00512E70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 w:rsidRPr="00512E70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93107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bookmarkStart w:id="0" w:name="_GoBack"/>
      <w:bookmarkEnd w:id="0"/>
      <w:r w:rsidR="00931070">
        <w:rPr>
          <w:rFonts w:ascii="Arial" w:hAnsi="Arial" w:cs="Arial"/>
          <w:color w:val="000000"/>
          <w:sz w:val="21"/>
          <w:szCs w:val="21"/>
          <w:shd w:val="clear" w:color="auto" w:fill="FFFFFF"/>
        </w:rPr>
        <w:t>01-05/248</w:t>
      </w:r>
    </w:p>
    <w:p w:rsidR="006D62F7" w:rsidRPr="00512E70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512E70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512E70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512E70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3D118A" w:rsidRPr="00512E7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2E70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7B1A7A" w:rsidRPr="00512E70">
        <w:rPr>
          <w:rFonts w:ascii="Times New Roman CYR" w:hAnsi="Times New Roman CYR" w:cs="Times New Roman CYR"/>
          <w:b/>
          <w:bCs/>
          <w:sz w:val="24"/>
          <w:szCs w:val="24"/>
        </w:rPr>
        <w:t xml:space="preserve">УФНС России по Ставропольскому краю </w:t>
      </w:r>
      <w:r w:rsidR="00C31CC7" w:rsidRPr="00512E70">
        <w:rPr>
          <w:rFonts w:ascii="Times New Roman CYR" w:hAnsi="Times New Roman CYR" w:cs="Times New Roman CYR"/>
          <w:b/>
          <w:bCs/>
          <w:sz w:val="24"/>
          <w:szCs w:val="24"/>
        </w:rPr>
        <w:t>на 2014 - 2015 годы</w:t>
      </w:r>
    </w:p>
    <w:p w:rsidR="00B9431B" w:rsidRPr="00512E70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623E5A" w:rsidRPr="00512E70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13904" w:type="dxa"/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127"/>
        <w:gridCol w:w="1807"/>
        <w:gridCol w:w="44"/>
        <w:gridCol w:w="4148"/>
      </w:tblGrid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2E70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9431B" w:rsidP="00657A8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7B1A7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У</w:t>
            </w:r>
            <w:r w:rsidR="003D118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Ф</w:t>
            </w:r>
            <w:r w:rsidR="00A70944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НС России </w:t>
            </w:r>
            <w:r w:rsidR="007B1A7A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Ставропольскому краю 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7B1A7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D83D5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7B1A7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Ставропольскому краю</w:t>
            </w:r>
            <w:r w:rsidR="00467BA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512E70" w:rsidRPr="00512E70" w:rsidTr="00F12695">
        <w:trPr>
          <w:trHeight w:val="275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2E70" w:rsidRDefault="00DB6939" w:rsidP="007B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7B1A7A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7A" w:rsidRPr="00512E70" w:rsidRDefault="00DB6939" w:rsidP="007B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 w:rsidRPr="00512E70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</w:t>
            </w:r>
            <w:r w:rsidR="007B1A7A" w:rsidRPr="00512E70">
              <w:rPr>
                <w:rFonts w:ascii="Times New Roman CYR" w:hAnsi="Times New Roman CYR" w:cs="Times New Roman CYR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и урегулированию конфликта интересов в УФНС России по Ставропольскому краю</w:t>
            </w:r>
            <w:r w:rsidR="00A60A9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, обеспечение участия в работе Комиссии  представителя профсоюзной организации УФНС России по Ставропольскому краю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5E" w:rsidRPr="00512E70" w:rsidRDefault="00AD635E" w:rsidP="00AD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A60A91" w:rsidRPr="00512E70" w:rsidRDefault="00A60A91" w:rsidP="00AD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B6939" w:rsidRPr="00512E70" w:rsidRDefault="00DB6939" w:rsidP="00AD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2E70" w:rsidRDefault="008A01F1" w:rsidP="008A01F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B6939" w:rsidRPr="00512E70">
              <w:rPr>
                <w:rFonts w:ascii="Times New Roman CYR" w:hAnsi="Times New Roman CYR" w:cs="Times New Roman CYR"/>
                <w:sz w:val="24"/>
                <w:szCs w:val="24"/>
              </w:rPr>
              <w:t>2014-2015 год</w:t>
            </w:r>
            <w:r w:rsidR="00C11FF1" w:rsidRPr="00512E70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DB6939" w:rsidRPr="00512E70" w:rsidRDefault="00DB6939" w:rsidP="00E656F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2E70" w:rsidRDefault="00DB6939" w:rsidP="008A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эффективного взаимодействия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="008A01F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выполнения требований федеральных законов 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5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351A74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414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на официальном сайте </w:t>
            </w:r>
            <w:r w:rsidR="000E0350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(www.nalog.ru) информации о результатах работы Комиссии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0E0350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414E27" w:rsidP="0041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356224" w:rsidRPr="00512E70" w:rsidRDefault="00356224" w:rsidP="0041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6224" w:rsidRPr="00512E70" w:rsidRDefault="00356224" w:rsidP="0041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работы с налогоплательщиками </w:t>
            </w:r>
          </w:p>
          <w:p w:rsidR="00414E27" w:rsidRPr="00512E70" w:rsidRDefault="00414E27" w:rsidP="0041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4E27" w:rsidRPr="00512E70" w:rsidRDefault="00414E27" w:rsidP="0041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356224" w:rsidP="00351A74">
            <w:pPr>
              <w:spacing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итогам полугодия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8A01F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r w:rsidR="008A01F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общественного мнения о результатах работы по противодействию коррупции в УФНС России по Ставропольскому краю 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5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351A74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9E59C4" w:rsidP="001E7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рида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ни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каждого установленного факта коррупции в </w:t>
            </w:r>
            <w:r w:rsidR="000E0350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путем размещения на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официальном сайте (www.nalog.ru) информации </w:t>
            </w:r>
            <w:r w:rsidR="001E7A6C" w:rsidRPr="00512E7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о результата</w:t>
            </w:r>
            <w:r w:rsidR="001E7A6C" w:rsidRPr="00512E7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проверок в соответствии с Указом Президента Российской Федерации от 21 сентября 2009 г.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</w:t>
            </w:r>
            <w:r w:rsidR="00374C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щими, и соблюдения федеральными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государс</w:t>
            </w:r>
            <w:r w:rsidR="00351A74" w:rsidRPr="00512E70">
              <w:rPr>
                <w:rFonts w:ascii="Times New Roman CYR" w:hAnsi="Times New Roman CYR" w:cs="Times New Roman CYR"/>
                <w:sz w:val="24"/>
                <w:szCs w:val="24"/>
              </w:rPr>
              <w:t>твенными</w:t>
            </w:r>
            <w:proofErr w:type="gramEnd"/>
            <w:r w:rsidR="00351A74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требований к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служебному поведению»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9E59C4" w:rsidP="0035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безопасности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4" w:rsidRPr="00512E70" w:rsidRDefault="009E59C4" w:rsidP="009E59C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5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0E0350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противодействию коррупции; формирование отрицательного отношения к коррупции у гос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51A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E37573"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512E70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E7573" w:rsidP="00BE7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о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беспеч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ени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контроля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государственными гражданскими служащим</w:t>
            </w:r>
            <w:r w:rsidR="00634E4C" w:rsidRPr="00512E70">
              <w:rPr>
                <w:rFonts w:ascii="Times New Roman CYR" w:hAnsi="Times New Roman CYR" w:cs="Times New Roman CYR"/>
                <w:sz w:val="24"/>
                <w:szCs w:val="24"/>
              </w:rPr>
              <w:t>и п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351A74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11.03.2012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34E4C" w:rsidRPr="00512E70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 w:rsidR="00351A74" w:rsidRPr="00512E70">
              <w:rPr>
                <w:rFonts w:ascii="Times New Roman CYR" w:hAnsi="Times New Roman CYR" w:cs="Times New Roman CYR"/>
                <w:sz w:val="24"/>
                <w:szCs w:val="24"/>
              </w:rPr>
              <w:t>01-05/070 «Об утверждении порядка передачи подарков, полученных федеральными государственными гражданскими служащими УФНС России по Ставропольскому краю в связи с протокольными мероприятиями, служебными командировками и другими официальными мероприятиями»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gramStart"/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 w:rsidR="00F12695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>своевременно</w:t>
            </w:r>
            <w:r w:rsidR="00F12695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 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 w:rsidR="00F12695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государственными гражданскими служащими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81258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10 «О порядке сообщения 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      </w:r>
            <w:proofErr w:type="gramEnd"/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подарка, реализации (выкупа) и зачисления средств, вырученных от его реализации»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3" w:rsidRPr="00512E70" w:rsidRDefault="00BE7573" w:rsidP="009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</w:t>
            </w:r>
          </w:p>
          <w:p w:rsidR="00BE7573" w:rsidRPr="00512E70" w:rsidRDefault="00BE7573" w:rsidP="00BE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A46D9" w:rsidRPr="00512E70" w:rsidRDefault="00BA46D9" w:rsidP="009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Хозяйственный отдел</w:t>
            </w:r>
          </w:p>
          <w:p w:rsidR="00BA46D9" w:rsidRPr="00512E70" w:rsidRDefault="00BA46D9" w:rsidP="0035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7376" w:rsidRPr="00512E70" w:rsidRDefault="00BB7376" w:rsidP="0035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E7573" w:rsidP="00BE757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BB7376" w:rsidRPr="00512E70" w:rsidRDefault="00BB7376" w:rsidP="00E656F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51A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351A74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12E70" w:rsidRPr="00512E70" w:rsidTr="00566348">
        <w:trPr>
          <w:trHeight w:val="175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348" w:rsidRPr="00512E70" w:rsidRDefault="00566348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348" w:rsidRPr="00512E70" w:rsidRDefault="00566348" w:rsidP="00566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мероприятий по проверке фактов неправомерного получения подарка в связи с должностным положением или в связи с исполнением служебных обязанностей государственными гражданскими служащими УФНС России по Ставропольскому краю.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348" w:rsidRPr="00512E70" w:rsidRDefault="00566348" w:rsidP="0037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566348" w:rsidRPr="00512E70" w:rsidRDefault="00566348" w:rsidP="0037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6348" w:rsidRPr="00512E70" w:rsidRDefault="00566348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</w:p>
          <w:p w:rsidR="00566348" w:rsidRPr="00512E70" w:rsidRDefault="00566348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348" w:rsidRPr="00512E70" w:rsidRDefault="00566348" w:rsidP="0056634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Отчет ежеквартально</w:t>
            </w:r>
          </w:p>
          <w:p w:rsidR="00566348" w:rsidRPr="00512E70" w:rsidRDefault="00566348" w:rsidP="0056634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66348" w:rsidRPr="00512E70" w:rsidRDefault="00566348" w:rsidP="0056634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1FF1" w:rsidRPr="00512E70" w:rsidRDefault="00566348" w:rsidP="00C11FF1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  <w:r w:rsidR="00C11FF1" w:rsidRPr="00512E70">
              <w:rPr>
                <w:rFonts w:ascii="Times New Roman CYR" w:hAnsi="Times New Roman CYR" w:cs="Times New Roman CYR"/>
                <w:sz w:val="24"/>
                <w:szCs w:val="24"/>
              </w:rPr>
              <w:br/>
              <w:t>в течени</w:t>
            </w:r>
            <w:proofErr w:type="gramStart"/>
            <w:r w:rsidR="00C11FF1" w:rsidRPr="00512E7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="00C11FF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1FF1" w:rsidRPr="00512E70">
              <w:rPr>
                <w:rFonts w:ascii="Times New Roman CYR" w:hAnsi="Times New Roman CYR" w:cs="Times New Roman CYR"/>
                <w:sz w:val="24"/>
                <w:szCs w:val="24"/>
              </w:rPr>
              <w:br/>
              <w:t>2014-2015 года</w:t>
            </w:r>
          </w:p>
          <w:p w:rsidR="00C11FF1" w:rsidRPr="00512E70" w:rsidRDefault="00C11FF1" w:rsidP="00C11FF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348" w:rsidRPr="00512E70" w:rsidRDefault="00566348" w:rsidP="00574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УФНС России по Ставропольскому краю по противодействию коррупции в части формирования у государственных гражданских служащих УФНС России по Ставропольскому краю негативного отношения к дарению подарков в связи </w:t>
            </w:r>
            <w:r w:rsidRPr="00512E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их должностным положением или в связи с исполнением ими служебных обязанностей</w:t>
            </w:r>
          </w:p>
        </w:tc>
      </w:tr>
      <w:tr w:rsidR="00512E70" w:rsidRPr="00512E70" w:rsidTr="00566348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348" w:rsidRPr="00512E70" w:rsidRDefault="00566348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48" w:rsidRPr="00512E70" w:rsidRDefault="00586338" w:rsidP="0017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фактам неправомерного получения подарка в связи с исполнением служебных обязанностей государственными гражданскими служащими УФНС России по Ставропольскому краю. Проведение </w:t>
            </w:r>
            <w:r w:rsidR="00566348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r w:rsidR="00566348" w:rsidRPr="00512E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="00566348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УФНС России по Ставропольскому краю </w:t>
            </w:r>
            <w:r w:rsidR="00566348" w:rsidRPr="00512E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48" w:rsidRPr="00512E70" w:rsidRDefault="00566348" w:rsidP="00374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48" w:rsidRPr="00512E70" w:rsidRDefault="00566348" w:rsidP="00E656F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48" w:rsidRPr="00512E70" w:rsidRDefault="00566348" w:rsidP="00574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12E70" w:rsidRPr="00512E70" w:rsidTr="00566348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512E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B7376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конфликте интересов или возможности его возникновения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3350B0" w:rsidP="003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</w:t>
            </w:r>
          </w:p>
          <w:p w:rsidR="003350B0" w:rsidRPr="00512E70" w:rsidRDefault="003350B0" w:rsidP="003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50B0" w:rsidRPr="00512E70" w:rsidRDefault="003350B0" w:rsidP="003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  <w:p w:rsidR="003350B0" w:rsidRPr="00512E70" w:rsidRDefault="003350B0" w:rsidP="003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50B0" w:rsidRPr="00512E70" w:rsidRDefault="0046191F" w:rsidP="0046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Отделы УФНС России по Ставропольскому краю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FC3398" w:rsidP="00FC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335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 w:rsidRPr="00512E70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Ставропольскому краю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B7376" w:rsidP="00F126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E37573"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Ставропольскому краю 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512E70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служебного поведения государственных служащих»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C1204D" w:rsidP="009357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275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27527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512E70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нарушения общих</w:t>
            </w:r>
            <w:r w:rsidR="00E37573"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служебного поведения 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0353DE" w:rsidRPr="00512E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512E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1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73" w:rsidRPr="00512E70">
              <w:rPr>
                <w:rFonts w:ascii="Times New Roman" w:hAnsi="Times New Roman" w:cs="Times New Roman"/>
                <w:sz w:val="24"/>
                <w:szCs w:val="24"/>
              </w:rPr>
              <w:t>УФНС России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512E70" w:rsidRDefault="00BB7376" w:rsidP="009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="00971951" w:rsidRPr="00512E70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ED7394" w:rsidP="0046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Правовой отдел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E6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E37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 w:rsidRPr="00512E70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 w:rsidRPr="00512E70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>ажданских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="000353DE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B7376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3F659F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  <w:p w:rsidR="0050753A" w:rsidRPr="00512E70" w:rsidRDefault="0050753A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E37573" w:rsidP="00E3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B7376" w:rsidP="007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Мониторинг исполнения должностных обязанностей государственными гражданскими служащими Федеральной налоговой службы, проходящими государственную службу на должностях, замещение которых связано с коррупционным риском, и устранение таких рисков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0E8C" w:rsidRPr="00512E70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исьмом </w:t>
            </w:r>
            <w:r w:rsidR="003E0E8C" w:rsidRPr="00512E70">
              <w:rPr>
                <w:rFonts w:ascii="Times New Roman CYR" w:hAnsi="Times New Roman CYR" w:cs="Times New Roman CYR"/>
                <w:sz w:val="24"/>
                <w:szCs w:val="24"/>
              </w:rPr>
              <w:t>Минтруда России от 22.07.2013 № 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18-0/10/2-4077 «О проведении оценки коррупционных рисков, возникающих при реализации функций».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73" w:rsidRPr="00512E70" w:rsidRDefault="00E37573" w:rsidP="00E3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E37573" w:rsidRPr="00512E70" w:rsidRDefault="00E37573" w:rsidP="00E3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37573" w:rsidRPr="00512E70" w:rsidRDefault="00E37573" w:rsidP="00E3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  <w:p w:rsidR="00E37573" w:rsidRPr="00512E70" w:rsidRDefault="00E37573" w:rsidP="00E3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7376" w:rsidRPr="00512E70" w:rsidRDefault="0046191F" w:rsidP="0046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Отделы УФНС России по Ставропольскому краю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DB2A29" w:rsidP="00DB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Отчет ежеквартально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E375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предупреждению возможных коррупционных рисков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512E70" w:rsidRDefault="00BB7376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0771E" w:rsidP="00B0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DB2A29" w:rsidP="00DB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планом подготовки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85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F1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DB2A29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DB2A29" w:rsidP="00D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BB737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тайны, налоговой тайны, а также защиты персональных данных государственных гражданских служащих </w:t>
            </w:r>
            <w:r w:rsidR="00B0771E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0771E" w:rsidP="00B0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DF3389" w:rsidRPr="00512E70" w:rsidRDefault="00DF3389" w:rsidP="00B0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3389" w:rsidRPr="00512E70" w:rsidRDefault="00DF3389" w:rsidP="00B0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Отделы УФНС России по Ставропольскому краю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B0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2E70" w:rsidRDefault="00BB7376" w:rsidP="00B0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служащими </w:t>
            </w:r>
            <w:r w:rsidR="00B0771E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тайны, </w:t>
            </w:r>
            <w:r w:rsidR="003D1220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налоговой тайны,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а также персональных данных государственных гражданских служащих </w:t>
            </w:r>
            <w:r w:rsidR="00B0771E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2E70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3D1220" w:rsidP="003D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мероприятий по </w:t>
            </w:r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лица, замещающего должность Федеральной налоговой службы, его супруги (супруга) и несовершеннолетних детей в соответствии со ст. 10 Федерального закона от 03.12.2012 № 230-ФЗ «О контроле за соответствием расходов лиц, замещающих государственные должности, и иных лиц их доходам» и п</w:t>
            </w:r>
            <w:r w:rsidR="007A3CE0" w:rsidRPr="00512E70">
              <w:rPr>
                <w:rFonts w:ascii="Times New Roman CYR" w:hAnsi="Times New Roman CYR" w:cs="Times New Roman CYR"/>
                <w:sz w:val="24"/>
                <w:szCs w:val="24"/>
              </w:rPr>
              <w:t>одпункта</w:t>
            </w:r>
            <w:proofErr w:type="gramStart"/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gramStart"/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>» п</w:t>
            </w:r>
            <w:r w:rsidR="007A3CE0" w:rsidRPr="00512E70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 w:rsidR="00E6197D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Российской Федерации от 11.04.2014 № 226 «О Национальном плане противодействия коррупции на 2014-2015 годы»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476711" w:rsidP="0047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476711" w:rsidRPr="00512E70" w:rsidRDefault="00476711" w:rsidP="0047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6711" w:rsidRPr="00512E70" w:rsidRDefault="00476711" w:rsidP="0047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3D1220" w:rsidP="003D122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Отчет ежеквартально</w:t>
            </w:r>
          </w:p>
          <w:p w:rsidR="00E6197D" w:rsidRPr="00512E70" w:rsidRDefault="00E6197D" w:rsidP="003D12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476711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47671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проверок подразделениями, ответственны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 работу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профилактике корр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>упционных и иных правонарушений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Указом 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№ 1065 в каждом случае установления факта нарушений федеральными государственными гражданскими служащими </w:t>
            </w:r>
            <w:r w:rsidR="00DB33E5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DB33E5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753A" w:rsidRPr="00512E70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едерального 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закона от 25.12.2008 № 273-ФЗ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«О противодействии коррупции» и</w:t>
            </w:r>
            <w:r w:rsidRPr="00512E70"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Правительства Рос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>сийской Федерации от 09.01.2014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№ 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13" w:rsidRPr="00512E70" w:rsidRDefault="00B22C13" w:rsidP="00B2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</w:t>
            </w:r>
          </w:p>
          <w:p w:rsidR="00B22C13" w:rsidRPr="00512E70" w:rsidRDefault="00B22C13" w:rsidP="00B2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B22C13" w:rsidP="00B2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2014-2015 годы</w:t>
            </w:r>
          </w:p>
          <w:p w:rsidR="00E6197D" w:rsidRPr="00512E70" w:rsidRDefault="00E6197D" w:rsidP="00E656F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="00B22C13"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471B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федеральными государственными гражданскими служащими </w:t>
            </w:r>
            <w:r w:rsidR="00471BB8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ФНС России </w:t>
            </w:r>
            <w:r w:rsidR="00471BB8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Ставропольскому краю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471BB8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512E70" w:rsidRPr="00512E70" w:rsidTr="00F12695">
        <w:trPr>
          <w:trHeight w:val="191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252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88" w:rsidRPr="00512E70" w:rsidRDefault="00252588" w:rsidP="0025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252588" w:rsidRPr="00512E70" w:rsidRDefault="00252588" w:rsidP="0025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91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6B60BA" w:rsidP="0046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2014-2015  годы 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Ставропольскому краю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47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88" w:rsidRPr="00512E70" w:rsidRDefault="00252588" w:rsidP="0025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252588" w:rsidRPr="00512E70" w:rsidRDefault="00252588" w:rsidP="0025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46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6B60BA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 отчет ежеквартально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результативности рассмотрения обращений граждан и организаций по фактам проявления коррупции 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252588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Федеральной налоговой службы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BA" w:rsidRPr="00512E70" w:rsidRDefault="006B60BA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E6197D" w:rsidRPr="00512E70" w:rsidRDefault="00E6197D" w:rsidP="009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6B60BA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 2014-2015  годы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Ставропольскому краю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в сфере противодействия коррупции. Формирование отрицательного отношения к коррупции у гос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повышение эффективности деятельности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 по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50753A" w:rsidRPr="00512E70" w:rsidRDefault="0050753A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BA" w:rsidRPr="00512E70" w:rsidRDefault="006B60BA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Хозяйственный отдел</w:t>
            </w:r>
          </w:p>
          <w:p w:rsidR="006B60BA" w:rsidRPr="00512E70" w:rsidRDefault="006B60BA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754E69" w:rsidP="006B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6B60BA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5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357A1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по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противодействию коррупции</w:t>
            </w:r>
            <w:proofErr w:type="gramEnd"/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 Интернет-сайте Федеральной налоговой службы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BA" w:rsidRPr="00512E70" w:rsidRDefault="006B60BA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</w:t>
            </w:r>
          </w:p>
          <w:p w:rsidR="006B60BA" w:rsidRPr="00512E70" w:rsidRDefault="006B60BA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754E69" w:rsidP="00F1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1126B8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  <w:p w:rsidR="001126B8" w:rsidRPr="00512E70" w:rsidRDefault="001126B8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по 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Ставропольскому краю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противодействию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технологий в режиме «он-лайн» и почтового ящика для обращений по фактам коррупции в 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9" w:rsidRPr="00512E70" w:rsidRDefault="00754E69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754E69" w:rsidRPr="00512E70" w:rsidRDefault="00754E69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11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7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754E69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бесперебойного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технологий в режиме «он-лайн»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обращений по фактам коррупции в ФНС России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385C53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12E70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21" w:rsidRPr="00512E70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России, оптимизация предоставления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государственных услуг, в том числе 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73" w:rsidRPr="00512E70" w:rsidRDefault="00DE2173" w:rsidP="00DE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Отделы УФНС России по Ставропольскому краю</w:t>
            </w:r>
          </w:p>
          <w:p w:rsidR="00DE2173" w:rsidRPr="00512E70" w:rsidRDefault="00DE2173" w:rsidP="00DE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173" w:rsidRPr="00512E70" w:rsidRDefault="00DE2173" w:rsidP="00DE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1126B8" w:rsidP="00DE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1126B8" w:rsidP="0011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в сфере совершенствования контрольно-надзорных и разрешительных функций, повышение эффективности деятельности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России, в части внедрения в деятельность Федеральной налоговой службы инновационных технологий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государственного управления и администрирования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E7" w:rsidRPr="00512E70" w:rsidRDefault="00E6197D" w:rsidP="009B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Проведение совещаний с руководителями кадровых служб и сотрудниками</w:t>
            </w:r>
            <w:r w:rsidR="00D21AA3" w:rsidRPr="00512E7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 коррупционных и иных правонарушений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территориальны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 налоговыми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ами Ставропольского края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 вопросам </w:t>
            </w:r>
            <w:proofErr w:type="gramStart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E" w:rsidRPr="00512E70" w:rsidRDefault="00893C9E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</w:t>
            </w:r>
          </w:p>
          <w:p w:rsidR="00893C9E" w:rsidRPr="00512E70" w:rsidRDefault="00893C9E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DE2173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  <w:p w:rsidR="00DE2173" w:rsidRPr="00512E70" w:rsidRDefault="00DE2173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173" w:rsidRPr="00512E70" w:rsidRDefault="00DE2173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893C9E" w:rsidP="00DE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DE2173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 w:rsidR="00CD3F70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  <w:r w:rsidR="00033C1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территориальных </w:t>
            </w:r>
            <w:r w:rsidR="0044642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</w:t>
            </w:r>
            <w:r w:rsidR="00033C1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органах </w:t>
            </w:r>
            <w:r w:rsidR="00446421" w:rsidRPr="00512E70">
              <w:rPr>
                <w:rFonts w:ascii="Times New Roman CYR" w:hAnsi="Times New Roman CYR" w:cs="Times New Roman CYR"/>
                <w:sz w:val="24"/>
                <w:szCs w:val="24"/>
              </w:rPr>
              <w:t>Ставропольского края</w:t>
            </w: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в соответствии с Указом № 1065</w:t>
            </w: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</w:t>
            </w:r>
            <w:r w:rsidR="0044642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в ФНС России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и анализ</w:t>
            </w:r>
            <w:r w:rsidR="00033C1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проведенных </w:t>
            </w:r>
            <w:r w:rsidR="00446421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33C16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46421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Ставропольскому краю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446421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  <w:p w:rsidR="00446421" w:rsidRPr="00512E70" w:rsidRDefault="00446421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46421" w:rsidRPr="00512E70" w:rsidRDefault="00446421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46421" w:rsidRPr="00512E70" w:rsidRDefault="00446421" w:rsidP="0092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F12695" w:rsidP="00F1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0FCC" w:rsidRPr="00512E70" w:rsidRDefault="007B0FCC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2695" w:rsidRPr="00512E70" w:rsidRDefault="00F12695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2695" w:rsidRPr="00512E70" w:rsidRDefault="00F12695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 полугодиям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8194A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8194A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="00033C16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512E70" w:rsidRPr="00512E70" w:rsidTr="0056634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7D4717"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Ставропольскому краю</w:t>
            </w: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12E70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F12695" w:rsidRPr="00512E70" w:rsidTr="00566348">
        <w:trPr>
          <w:trHeight w:val="156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512E70" w:rsidRDefault="00E6197D" w:rsidP="0017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7D4717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F2ACC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7D4717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="000F2ACC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5502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размещени</w:t>
            </w:r>
            <w:r w:rsidR="0017550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государственных заказов и устранение выявленных коррупционных рисков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F12695" w:rsidP="007D4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12E70" w:rsidRDefault="00E6197D" w:rsidP="00E6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деятельности </w:t>
            </w:r>
            <w:r w:rsidR="007D4717" w:rsidRPr="00512E7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F2ACC" w:rsidRPr="00512E70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7D4717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Ставропольскому краю</w:t>
            </w:r>
            <w:r w:rsidR="000F2ACC" w:rsidRPr="00512E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2E70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государственных заказов</w:t>
            </w:r>
          </w:p>
        </w:tc>
      </w:tr>
    </w:tbl>
    <w:p w:rsidR="003E0223" w:rsidRPr="00512E70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512E70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77" w:rsidRDefault="00F86377" w:rsidP="004E6264">
      <w:pPr>
        <w:spacing w:after="0" w:line="240" w:lineRule="auto"/>
      </w:pPr>
      <w:r>
        <w:separator/>
      </w:r>
    </w:p>
  </w:endnote>
  <w:endnote w:type="continuationSeparator" w:id="0">
    <w:p w:rsidR="00F86377" w:rsidRDefault="00F86377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931070">
      <w:rPr>
        <w:rFonts w:ascii="Arial" w:hAnsi="Arial" w:cs="Arial"/>
        <w:i/>
        <w:noProof/>
        <w:color w:val="FFFFFF" w:themeColor="background1"/>
        <w:sz w:val="16"/>
      </w:rPr>
      <w:t>08.12.2014 15:13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8A01F1">
      <w:rPr>
        <w:rFonts w:ascii="Arial" w:hAnsi="Arial" w:cs="Arial"/>
        <w:noProof/>
        <w:color w:val="FFFFFF" w:themeColor="background1"/>
        <w:sz w:val="16"/>
      </w:rPr>
      <w:t>План 2014-2015.docx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931070">
      <w:rPr>
        <w:rFonts w:ascii="Arial" w:hAnsi="Arial" w:cs="Arial"/>
        <w:i/>
        <w:noProof/>
        <w:color w:val="FFFFFF" w:themeColor="background1"/>
        <w:sz w:val="16"/>
      </w:rPr>
      <w:t>08.12.2014 15:13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8A01F1">
      <w:rPr>
        <w:rFonts w:ascii="Arial" w:hAnsi="Arial" w:cs="Arial"/>
        <w:noProof/>
        <w:color w:val="FFFFFF" w:themeColor="background1"/>
        <w:sz w:val="16"/>
      </w:rPr>
      <w:t>План 2014-2015.docx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77" w:rsidRDefault="00F86377" w:rsidP="004E6264">
      <w:pPr>
        <w:spacing w:after="0" w:line="240" w:lineRule="auto"/>
      </w:pPr>
      <w:r>
        <w:separator/>
      </w:r>
    </w:p>
  </w:footnote>
  <w:footnote w:type="continuationSeparator" w:id="0">
    <w:p w:rsidR="00F86377" w:rsidRDefault="00F86377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70">
          <w:rPr>
            <w:noProof/>
          </w:rPr>
          <w:t>2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E0350"/>
    <w:rsid w:val="000F2ACC"/>
    <w:rsid w:val="00102CC9"/>
    <w:rsid w:val="001126B8"/>
    <w:rsid w:val="0011791E"/>
    <w:rsid w:val="0012724D"/>
    <w:rsid w:val="0015413A"/>
    <w:rsid w:val="00157E6B"/>
    <w:rsid w:val="0016134B"/>
    <w:rsid w:val="0017401D"/>
    <w:rsid w:val="00174883"/>
    <w:rsid w:val="00175502"/>
    <w:rsid w:val="001A7676"/>
    <w:rsid w:val="001B254F"/>
    <w:rsid w:val="001C39DC"/>
    <w:rsid w:val="001E6FA9"/>
    <w:rsid w:val="001E7A6C"/>
    <w:rsid w:val="00203E66"/>
    <w:rsid w:val="00210DE7"/>
    <w:rsid w:val="0024369E"/>
    <w:rsid w:val="00243C2A"/>
    <w:rsid w:val="00245363"/>
    <w:rsid w:val="00252588"/>
    <w:rsid w:val="00275278"/>
    <w:rsid w:val="00277064"/>
    <w:rsid w:val="00285DA7"/>
    <w:rsid w:val="002A4DC0"/>
    <w:rsid w:val="002C4F2B"/>
    <w:rsid w:val="002C7C09"/>
    <w:rsid w:val="0030529E"/>
    <w:rsid w:val="00305906"/>
    <w:rsid w:val="00314B54"/>
    <w:rsid w:val="003155A8"/>
    <w:rsid w:val="0032334E"/>
    <w:rsid w:val="00325650"/>
    <w:rsid w:val="003350B0"/>
    <w:rsid w:val="00351A74"/>
    <w:rsid w:val="00356224"/>
    <w:rsid w:val="00363008"/>
    <w:rsid w:val="00374C8A"/>
    <w:rsid w:val="00385C53"/>
    <w:rsid w:val="00387597"/>
    <w:rsid w:val="00392B20"/>
    <w:rsid w:val="003A7839"/>
    <w:rsid w:val="003C62F8"/>
    <w:rsid w:val="003D118A"/>
    <w:rsid w:val="003D1220"/>
    <w:rsid w:val="003D25A6"/>
    <w:rsid w:val="003D5C38"/>
    <w:rsid w:val="003E0223"/>
    <w:rsid w:val="003E0E8C"/>
    <w:rsid w:val="003F659F"/>
    <w:rsid w:val="00414E27"/>
    <w:rsid w:val="00425C9C"/>
    <w:rsid w:val="00441A00"/>
    <w:rsid w:val="00442BAA"/>
    <w:rsid w:val="00444274"/>
    <w:rsid w:val="00446421"/>
    <w:rsid w:val="00451925"/>
    <w:rsid w:val="0046191F"/>
    <w:rsid w:val="00467BA7"/>
    <w:rsid w:val="00471BB8"/>
    <w:rsid w:val="00476711"/>
    <w:rsid w:val="0047778F"/>
    <w:rsid w:val="00481912"/>
    <w:rsid w:val="004A24FD"/>
    <w:rsid w:val="004A51CD"/>
    <w:rsid w:val="004A5EA3"/>
    <w:rsid w:val="004D3CCE"/>
    <w:rsid w:val="004E6264"/>
    <w:rsid w:val="005010CE"/>
    <w:rsid w:val="00501847"/>
    <w:rsid w:val="00502D78"/>
    <w:rsid w:val="0050753A"/>
    <w:rsid w:val="00512E70"/>
    <w:rsid w:val="00516C9D"/>
    <w:rsid w:val="0053446B"/>
    <w:rsid w:val="00553C7A"/>
    <w:rsid w:val="00554438"/>
    <w:rsid w:val="00566348"/>
    <w:rsid w:val="005745F0"/>
    <w:rsid w:val="00586338"/>
    <w:rsid w:val="005A57EE"/>
    <w:rsid w:val="005B49AF"/>
    <w:rsid w:val="005B63A8"/>
    <w:rsid w:val="005C65B6"/>
    <w:rsid w:val="005D381D"/>
    <w:rsid w:val="00602C42"/>
    <w:rsid w:val="00605DEE"/>
    <w:rsid w:val="0060624D"/>
    <w:rsid w:val="00623E5A"/>
    <w:rsid w:val="0063397D"/>
    <w:rsid w:val="00634B38"/>
    <w:rsid w:val="00634E4C"/>
    <w:rsid w:val="00657A84"/>
    <w:rsid w:val="0068002D"/>
    <w:rsid w:val="00680A7C"/>
    <w:rsid w:val="0068671D"/>
    <w:rsid w:val="006A05DF"/>
    <w:rsid w:val="006B3CD2"/>
    <w:rsid w:val="006B60BA"/>
    <w:rsid w:val="006D62F7"/>
    <w:rsid w:val="006E01C2"/>
    <w:rsid w:val="006F0015"/>
    <w:rsid w:val="00724306"/>
    <w:rsid w:val="00734835"/>
    <w:rsid w:val="00754E69"/>
    <w:rsid w:val="00755251"/>
    <w:rsid w:val="00773B3F"/>
    <w:rsid w:val="0079799C"/>
    <w:rsid w:val="007A1983"/>
    <w:rsid w:val="007A3CE0"/>
    <w:rsid w:val="007B0FCC"/>
    <w:rsid w:val="007B1A7A"/>
    <w:rsid w:val="007B2827"/>
    <w:rsid w:val="007D4717"/>
    <w:rsid w:val="007E2209"/>
    <w:rsid w:val="007E66A6"/>
    <w:rsid w:val="007F3E9F"/>
    <w:rsid w:val="007F6AC2"/>
    <w:rsid w:val="0081258A"/>
    <w:rsid w:val="00820D40"/>
    <w:rsid w:val="008447A9"/>
    <w:rsid w:val="0085480D"/>
    <w:rsid w:val="00855586"/>
    <w:rsid w:val="00887980"/>
    <w:rsid w:val="00893C9E"/>
    <w:rsid w:val="008A01F1"/>
    <w:rsid w:val="008A2A8E"/>
    <w:rsid w:val="008C3D33"/>
    <w:rsid w:val="008D3AF0"/>
    <w:rsid w:val="009129B4"/>
    <w:rsid w:val="00912F3A"/>
    <w:rsid w:val="00925788"/>
    <w:rsid w:val="00931070"/>
    <w:rsid w:val="009357A1"/>
    <w:rsid w:val="00962602"/>
    <w:rsid w:val="00963C2F"/>
    <w:rsid w:val="00971951"/>
    <w:rsid w:val="00977FB8"/>
    <w:rsid w:val="0098194A"/>
    <w:rsid w:val="009A5639"/>
    <w:rsid w:val="009A7B8C"/>
    <w:rsid w:val="009B4751"/>
    <w:rsid w:val="009E59C4"/>
    <w:rsid w:val="00A00D4A"/>
    <w:rsid w:val="00A01860"/>
    <w:rsid w:val="00A023E8"/>
    <w:rsid w:val="00A119E5"/>
    <w:rsid w:val="00A12C80"/>
    <w:rsid w:val="00A47B35"/>
    <w:rsid w:val="00A54BCE"/>
    <w:rsid w:val="00A562E4"/>
    <w:rsid w:val="00A60A91"/>
    <w:rsid w:val="00A70944"/>
    <w:rsid w:val="00AB302D"/>
    <w:rsid w:val="00AD635E"/>
    <w:rsid w:val="00AE2FF9"/>
    <w:rsid w:val="00B062A4"/>
    <w:rsid w:val="00B0771E"/>
    <w:rsid w:val="00B22C13"/>
    <w:rsid w:val="00B30497"/>
    <w:rsid w:val="00B51DCC"/>
    <w:rsid w:val="00B81065"/>
    <w:rsid w:val="00B9431B"/>
    <w:rsid w:val="00BA376F"/>
    <w:rsid w:val="00BA391B"/>
    <w:rsid w:val="00BA46D9"/>
    <w:rsid w:val="00BA73D4"/>
    <w:rsid w:val="00BB5745"/>
    <w:rsid w:val="00BB7376"/>
    <w:rsid w:val="00BE7573"/>
    <w:rsid w:val="00C075C9"/>
    <w:rsid w:val="00C11909"/>
    <w:rsid w:val="00C11FF1"/>
    <w:rsid w:val="00C1204D"/>
    <w:rsid w:val="00C163F2"/>
    <w:rsid w:val="00C21FD9"/>
    <w:rsid w:val="00C31CC7"/>
    <w:rsid w:val="00C562FF"/>
    <w:rsid w:val="00C727D3"/>
    <w:rsid w:val="00CA2411"/>
    <w:rsid w:val="00CC3893"/>
    <w:rsid w:val="00CD3F70"/>
    <w:rsid w:val="00CE5030"/>
    <w:rsid w:val="00CF2C27"/>
    <w:rsid w:val="00D06BE2"/>
    <w:rsid w:val="00D1201F"/>
    <w:rsid w:val="00D21AA3"/>
    <w:rsid w:val="00D24D46"/>
    <w:rsid w:val="00D27230"/>
    <w:rsid w:val="00D340F8"/>
    <w:rsid w:val="00D35DB9"/>
    <w:rsid w:val="00D801F9"/>
    <w:rsid w:val="00D83D57"/>
    <w:rsid w:val="00D87F47"/>
    <w:rsid w:val="00D92072"/>
    <w:rsid w:val="00DB2A29"/>
    <w:rsid w:val="00DB33E5"/>
    <w:rsid w:val="00DB6939"/>
    <w:rsid w:val="00DC1904"/>
    <w:rsid w:val="00DE2173"/>
    <w:rsid w:val="00DF3389"/>
    <w:rsid w:val="00E20DBA"/>
    <w:rsid w:val="00E37573"/>
    <w:rsid w:val="00E6197D"/>
    <w:rsid w:val="00E656F0"/>
    <w:rsid w:val="00E80728"/>
    <w:rsid w:val="00EC559C"/>
    <w:rsid w:val="00ED7394"/>
    <w:rsid w:val="00EF753B"/>
    <w:rsid w:val="00F03F77"/>
    <w:rsid w:val="00F12695"/>
    <w:rsid w:val="00F368C2"/>
    <w:rsid w:val="00F5208C"/>
    <w:rsid w:val="00F548DF"/>
    <w:rsid w:val="00F66A6F"/>
    <w:rsid w:val="00F848B7"/>
    <w:rsid w:val="00F86377"/>
    <w:rsid w:val="00F938C0"/>
    <w:rsid w:val="00FC3398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8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styleId="a9">
    <w:name w:val="No Spacing"/>
    <w:uiPriority w:val="1"/>
    <w:qFormat/>
    <w:rsid w:val="00275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8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styleId="a9">
    <w:name w:val="No Spacing"/>
    <w:uiPriority w:val="1"/>
    <w:qFormat/>
    <w:rsid w:val="0027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3A62-183C-43DA-AC41-DB42B3EF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Федяков Сергей Григорьевич</dc:creator>
  <cp:keywords/>
  <dc:description/>
  <cp:lastModifiedBy>inet</cp:lastModifiedBy>
  <cp:revision>2</cp:revision>
  <cp:lastPrinted>2014-07-16T06:25:00Z</cp:lastPrinted>
  <dcterms:created xsi:type="dcterms:W3CDTF">2014-12-08T12:13:00Z</dcterms:created>
  <dcterms:modified xsi:type="dcterms:W3CDTF">2014-12-08T12:13:00Z</dcterms:modified>
</cp:coreProperties>
</file>