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F" w:rsidRPr="00CA563F" w:rsidRDefault="00EF4E9F">
      <w:pPr>
        <w:pStyle w:val="ConsPlusTitle"/>
        <w:jc w:val="center"/>
        <w:outlineLvl w:val="0"/>
      </w:pPr>
      <w:r w:rsidRPr="00CA563F">
        <w:t>ПРАВИТЕЛЬСТВО РОССИЙСКОЙ ФЕДЕРАЦИИ</w:t>
      </w:r>
    </w:p>
    <w:p w:rsidR="00EF4E9F" w:rsidRPr="00CA563F" w:rsidRDefault="00EF4E9F">
      <w:pPr>
        <w:pStyle w:val="ConsPlusTitle"/>
        <w:jc w:val="center"/>
      </w:pPr>
    </w:p>
    <w:p w:rsidR="00EF4E9F" w:rsidRPr="00CA563F" w:rsidRDefault="00EF4E9F">
      <w:pPr>
        <w:pStyle w:val="ConsPlusTitle"/>
        <w:jc w:val="center"/>
      </w:pPr>
      <w:r w:rsidRPr="00CA563F">
        <w:t>ПОСТАНОВЛЕНИЕ</w:t>
      </w:r>
    </w:p>
    <w:p w:rsidR="00EF4E9F" w:rsidRPr="00CA563F" w:rsidRDefault="00EF4E9F">
      <w:pPr>
        <w:pStyle w:val="ConsPlusTitle"/>
        <w:jc w:val="center"/>
      </w:pPr>
      <w:r w:rsidRPr="00CA563F">
        <w:t>от 27 января 2014 г. N 60</w:t>
      </w:r>
    </w:p>
    <w:p w:rsidR="00EF4E9F" w:rsidRPr="00CA563F" w:rsidRDefault="00EF4E9F">
      <w:pPr>
        <w:pStyle w:val="ConsPlusTitle"/>
        <w:jc w:val="center"/>
      </w:pPr>
    </w:p>
    <w:p w:rsidR="00EF4E9F" w:rsidRPr="00CA563F" w:rsidRDefault="00EF4E9F">
      <w:pPr>
        <w:pStyle w:val="ConsPlusTitle"/>
        <w:jc w:val="center"/>
      </w:pPr>
      <w:r w:rsidRPr="00CA563F">
        <w:t>ОБ УТВЕРЖДЕНИИ ПРАВИЛ</w:t>
      </w:r>
    </w:p>
    <w:p w:rsidR="00EF4E9F" w:rsidRPr="00CA563F" w:rsidRDefault="00EF4E9F">
      <w:pPr>
        <w:pStyle w:val="ConsPlusTitle"/>
        <w:jc w:val="center"/>
      </w:pPr>
      <w:r w:rsidRPr="00CA563F">
        <w:t>ВЕДЕНИЯ В БУКМЕКЕРСКИХ КОНТОРАХ И ТОТАЛИЗАТОРАХ УЧЕТА</w:t>
      </w:r>
    </w:p>
    <w:p w:rsidR="00EF4E9F" w:rsidRPr="00CA563F" w:rsidRDefault="00EF4E9F">
      <w:pPr>
        <w:pStyle w:val="ConsPlusTitle"/>
        <w:jc w:val="center"/>
      </w:pPr>
      <w:r w:rsidRPr="00CA563F">
        <w:t>УЧАСТНИКОВ АЗАРТНЫХ ИГР, ОТ КОТОРЫХ ПРИНИМАЮТСЯ СТАВКИ</w:t>
      </w:r>
    </w:p>
    <w:p w:rsidR="00EF4E9F" w:rsidRPr="00CA563F" w:rsidRDefault="00EF4E9F">
      <w:pPr>
        <w:pStyle w:val="ConsPlusTitle"/>
        <w:jc w:val="center"/>
      </w:pPr>
      <w:r w:rsidRPr="00CA563F">
        <w:t>НА ОФИЦИАЛЬНЫЕ СПОРТИВНЫЕ СОРЕВНОВАНИЯ, И ПРАВИЛ</w:t>
      </w:r>
    </w:p>
    <w:p w:rsidR="00EF4E9F" w:rsidRPr="00CA563F" w:rsidRDefault="00EF4E9F">
      <w:pPr>
        <w:pStyle w:val="ConsPlusTitle"/>
        <w:jc w:val="center"/>
      </w:pPr>
      <w:r w:rsidRPr="00CA563F">
        <w:t>ПРЕДСТАВЛЕНИЯ В ФЕДЕРАЛЬНУЮ НАЛОГОВУЮ СЛУЖБУ ДАННЫХ</w:t>
      </w:r>
    </w:p>
    <w:p w:rsidR="00EF4E9F" w:rsidRPr="00CA563F" w:rsidRDefault="00EF4E9F">
      <w:pPr>
        <w:pStyle w:val="ConsPlusTitle"/>
        <w:jc w:val="center"/>
      </w:pPr>
      <w:r w:rsidRPr="00CA563F">
        <w:t>УЧЕТА В БУКМЕКЕРСКИХ КОНТОРАХ И ТОТАЛИЗАТОРАХ</w:t>
      </w:r>
    </w:p>
    <w:p w:rsidR="00EF4E9F" w:rsidRPr="00CA563F" w:rsidRDefault="00EF4E9F">
      <w:pPr>
        <w:pStyle w:val="ConsPlusTitle"/>
        <w:jc w:val="center"/>
      </w:pPr>
      <w:r w:rsidRPr="00CA563F">
        <w:t>УЧАСТНИКОВ АЗАРТНЫХ ИГР, ОТ КОТОРЫХ ПРИНИМАЮТСЯ</w:t>
      </w:r>
    </w:p>
    <w:p w:rsidR="00EF4E9F" w:rsidRPr="00CA563F" w:rsidRDefault="00EF4E9F">
      <w:pPr>
        <w:pStyle w:val="ConsPlusTitle"/>
        <w:jc w:val="center"/>
      </w:pPr>
      <w:r w:rsidRPr="00CA563F">
        <w:t>СТАВКИ НА ОФИЦИАЛЬНЫЕ СПОРТИВНЫЕ СОРЕВНОВАНИЯ</w:t>
      </w:r>
    </w:p>
    <w:p w:rsidR="00EF4E9F" w:rsidRPr="00CA563F" w:rsidRDefault="00EF4E9F">
      <w:pPr>
        <w:pStyle w:val="ConsPlusNormal"/>
        <w:jc w:val="center"/>
      </w:pPr>
    </w:p>
    <w:p w:rsidR="00EF4E9F" w:rsidRPr="00CA563F" w:rsidRDefault="00EF4E9F">
      <w:pPr>
        <w:pStyle w:val="ConsPlusNormal"/>
        <w:jc w:val="center"/>
      </w:pPr>
      <w:bookmarkStart w:id="0" w:name="_GoBack"/>
      <w:bookmarkEnd w:id="0"/>
    </w:p>
    <w:p w:rsidR="00EF4E9F" w:rsidRPr="00CA563F" w:rsidRDefault="00EF4E9F">
      <w:pPr>
        <w:pStyle w:val="ConsPlusTitle"/>
        <w:jc w:val="center"/>
      </w:pPr>
      <w:bookmarkStart w:id="1" w:name="P117"/>
      <w:bookmarkEnd w:id="1"/>
      <w:r w:rsidRPr="00CA563F">
        <w:t>ПРАВИЛА</w:t>
      </w:r>
    </w:p>
    <w:p w:rsidR="00EF4E9F" w:rsidRPr="00CA563F" w:rsidRDefault="00EF4E9F">
      <w:pPr>
        <w:pStyle w:val="ConsPlusTitle"/>
        <w:jc w:val="center"/>
      </w:pPr>
      <w:r w:rsidRPr="00CA563F">
        <w:t>ПРЕДСТАВЛЕНИЯ В ФЕДЕРАЛЬНУЮ НАЛОГОВУЮ СЛУЖБУ ДАННЫХ УЧЕТА</w:t>
      </w:r>
    </w:p>
    <w:p w:rsidR="00EF4E9F" w:rsidRPr="00CA563F" w:rsidRDefault="00EF4E9F">
      <w:pPr>
        <w:pStyle w:val="ConsPlusTitle"/>
        <w:jc w:val="center"/>
      </w:pPr>
      <w:r w:rsidRPr="00CA563F">
        <w:t>В БУКМЕКЕРСКИХ КОНТОРАХ И ТОТАЛИЗАТОРАХ УЧАСТНИКОВ АЗАРТНЫХ</w:t>
      </w:r>
    </w:p>
    <w:p w:rsidR="00EF4E9F" w:rsidRPr="00CA563F" w:rsidRDefault="00EF4E9F">
      <w:pPr>
        <w:pStyle w:val="ConsPlusTitle"/>
        <w:jc w:val="center"/>
      </w:pPr>
      <w:r w:rsidRPr="00CA563F">
        <w:t xml:space="preserve">ИГР, ОТ КОТОРЫХ ПРИНИМАЮТСЯ СТАВКИ </w:t>
      </w:r>
      <w:proofErr w:type="gramStart"/>
      <w:r w:rsidRPr="00CA563F">
        <w:t>НА</w:t>
      </w:r>
      <w:proofErr w:type="gramEnd"/>
      <w:r w:rsidRPr="00CA563F">
        <w:t xml:space="preserve"> ОФИЦИАЛЬНЫЕ</w:t>
      </w:r>
    </w:p>
    <w:p w:rsidR="00EF4E9F" w:rsidRPr="00CA563F" w:rsidRDefault="00EF4E9F">
      <w:pPr>
        <w:pStyle w:val="ConsPlusTitle"/>
        <w:jc w:val="center"/>
      </w:pPr>
      <w:r w:rsidRPr="00CA563F">
        <w:t>СПОРТИВНЫЕ СОРЕВНОВАНИЯ</w:t>
      </w:r>
    </w:p>
    <w:p w:rsidR="00EF4E9F" w:rsidRPr="00CA563F" w:rsidRDefault="00EF4E9F">
      <w:pPr>
        <w:pStyle w:val="ConsPlusNormal"/>
        <w:jc w:val="center"/>
      </w:pPr>
    </w:p>
    <w:p w:rsidR="00EF4E9F" w:rsidRPr="00CA563F" w:rsidRDefault="00EF4E9F">
      <w:pPr>
        <w:pStyle w:val="ConsPlusNormal"/>
        <w:ind w:firstLine="540"/>
        <w:jc w:val="both"/>
      </w:pPr>
      <w:r w:rsidRPr="00CA563F">
        <w:t>1. Организаторы азартных игр в букмекерских конторах и тотализаторах (далее - организаторы азартных игр) ежегодно представляют в Федеральную налоговую службу данные учета участников азартных игр, от которых принимаются ставки на официальные спортивные соревнования (далее - данные учета).</w:t>
      </w:r>
    </w:p>
    <w:p w:rsidR="00EF4E9F" w:rsidRPr="00CA563F" w:rsidRDefault="00EF4E9F">
      <w:pPr>
        <w:pStyle w:val="ConsPlusNormal"/>
        <w:ind w:firstLine="540"/>
        <w:jc w:val="both"/>
      </w:pPr>
      <w:r w:rsidRPr="00CA563F">
        <w:t xml:space="preserve">2. </w:t>
      </w:r>
      <w:proofErr w:type="gramStart"/>
      <w:r w:rsidRPr="00CA563F">
        <w:t xml:space="preserve">Данные учета представляются по состоянию на 31 декабря отчетного года не позднее 30 дней по окончании отчетного года по </w:t>
      </w:r>
      <w:hyperlink w:anchor="P62" w:history="1">
        <w:r w:rsidRPr="00CA563F">
          <w:t>форме</w:t>
        </w:r>
      </w:hyperlink>
      <w:r w:rsidRPr="00CA563F">
        <w:t xml:space="preserve"> согласно приложению к Правилам ведения в букмекерских конторах и тотализаторах учета участников азартных игр, от которых принимаются ставки на официальные спортивные соревнования, утвержденным постановлением Правительства Российской Федерации от 27 января 2014 г. N 60 "Об утверждении Правил ведения в букмекерских</w:t>
      </w:r>
      <w:proofErr w:type="gramEnd"/>
      <w:r w:rsidRPr="00CA563F">
        <w:t xml:space="preserve"> </w:t>
      </w:r>
      <w:proofErr w:type="gramStart"/>
      <w:r w:rsidRPr="00CA563F">
        <w:t>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соревнования".</w:t>
      </w:r>
      <w:proofErr w:type="gramEnd"/>
    </w:p>
    <w:p w:rsidR="00EF4E9F" w:rsidRPr="00CA563F" w:rsidRDefault="00EF4E9F">
      <w:pPr>
        <w:pStyle w:val="ConsPlusNormal"/>
        <w:ind w:firstLine="540"/>
        <w:jc w:val="both"/>
      </w:pPr>
      <w:r w:rsidRPr="00CA563F">
        <w:t>3. Данные учета представляются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EF4E9F" w:rsidRPr="00CA563F" w:rsidRDefault="00EF4E9F">
      <w:pPr>
        <w:pStyle w:val="ConsPlusNormal"/>
        <w:ind w:firstLine="540"/>
        <w:jc w:val="both"/>
      </w:pPr>
      <w:r w:rsidRPr="00CA563F">
        <w:t>4. Совместимость данных учета, представляемых в форме электронного документа, обеспечивается за счет соблюдения следующих единых организационных, методологических и программно-технических условий:</w:t>
      </w:r>
    </w:p>
    <w:p w:rsidR="00EF4E9F" w:rsidRPr="00CA563F" w:rsidRDefault="00EF4E9F">
      <w:pPr>
        <w:pStyle w:val="ConsPlusNormal"/>
        <w:ind w:firstLine="540"/>
        <w:jc w:val="both"/>
      </w:pPr>
      <w:r w:rsidRPr="00CA563F">
        <w:t>а) применение организаторами азартных игр средств электронной подписи или иных средств подтверждения отсутствия искажений в документах, представляемых в электронной форме;</w:t>
      </w:r>
    </w:p>
    <w:p w:rsidR="00EF4E9F" w:rsidRPr="00CA563F" w:rsidRDefault="00EF4E9F">
      <w:pPr>
        <w:pStyle w:val="ConsPlusNormal"/>
        <w:ind w:firstLine="540"/>
        <w:jc w:val="both"/>
      </w:pPr>
      <w:bookmarkStart w:id="2" w:name="P128"/>
      <w:bookmarkEnd w:id="2"/>
      <w:r w:rsidRPr="00CA563F">
        <w:t xml:space="preserve">б) применение организаторами азартных игр систем единых протоколов информационно-телекоммуникационных сетей, форматов данных и форм документов, представляемых в электронной форме. </w:t>
      </w:r>
      <w:hyperlink r:id="rId5" w:history="1">
        <w:r w:rsidRPr="00CA563F">
          <w:t>Формат</w:t>
        </w:r>
      </w:hyperlink>
      <w:r w:rsidRPr="00CA563F">
        <w:t xml:space="preserve"> представления данных учета в форме электронного документа определяется Федеральной налоговой службой.</w:t>
      </w:r>
    </w:p>
    <w:p w:rsidR="00EF4E9F" w:rsidRPr="00CA563F" w:rsidRDefault="00EF4E9F">
      <w:pPr>
        <w:pStyle w:val="ConsPlusNormal"/>
        <w:ind w:firstLine="540"/>
        <w:jc w:val="both"/>
      </w:pPr>
    </w:p>
    <w:p w:rsidR="00EF4E9F" w:rsidRPr="00CA563F" w:rsidRDefault="00EF4E9F">
      <w:pPr>
        <w:pStyle w:val="ConsPlusNormal"/>
        <w:ind w:firstLine="540"/>
        <w:jc w:val="both"/>
      </w:pPr>
    </w:p>
    <w:p w:rsidR="00EF4E9F" w:rsidRPr="00CA563F" w:rsidRDefault="00EF4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B30" w:rsidRPr="00CA563F" w:rsidRDefault="00E55B30"/>
    <w:sectPr w:rsidR="00E55B30" w:rsidRPr="00CA563F" w:rsidSect="00C821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9F"/>
    <w:rsid w:val="001F65B1"/>
    <w:rsid w:val="003509D7"/>
    <w:rsid w:val="009E0235"/>
    <w:rsid w:val="00AD3AC6"/>
    <w:rsid w:val="00CA1F55"/>
    <w:rsid w:val="00CA563F"/>
    <w:rsid w:val="00CF5D7A"/>
    <w:rsid w:val="00E55B30"/>
    <w:rsid w:val="00E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C046DD072A9C6DB5E70CDDEAFDA447376A8BB9A8EF250C4A2F1BA9ACADF075248605030D20A72N9G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2017-04-11T13:14:00Z</dcterms:created>
  <dcterms:modified xsi:type="dcterms:W3CDTF">2017-04-11T13:14:00Z</dcterms:modified>
</cp:coreProperties>
</file>