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BD" w:rsidRPr="00877FE3" w:rsidRDefault="00AF05BD">
      <w:pPr>
        <w:pStyle w:val="ConsPlusTitle"/>
        <w:jc w:val="center"/>
        <w:outlineLvl w:val="0"/>
      </w:pPr>
      <w:bookmarkStart w:id="0" w:name="_GoBack"/>
      <w:r w:rsidRPr="00877FE3">
        <w:t>ПРАВИТЕЛЬСТВО РОССИЙСКОЙ ФЕДЕРАЦИИ</w:t>
      </w:r>
    </w:p>
    <w:p w:rsidR="00AF05BD" w:rsidRPr="00877FE3" w:rsidRDefault="00AF05BD">
      <w:pPr>
        <w:pStyle w:val="ConsPlusTitle"/>
        <w:jc w:val="center"/>
      </w:pPr>
    </w:p>
    <w:p w:rsidR="00AF05BD" w:rsidRPr="00877FE3" w:rsidRDefault="00AF05BD">
      <w:pPr>
        <w:pStyle w:val="ConsPlusTitle"/>
        <w:jc w:val="center"/>
      </w:pPr>
      <w:r w:rsidRPr="00877FE3">
        <w:t>ПОСТАНОВЛЕНИЕ</w:t>
      </w:r>
    </w:p>
    <w:p w:rsidR="00AF05BD" w:rsidRPr="00877FE3" w:rsidRDefault="00AF05BD">
      <w:pPr>
        <w:pStyle w:val="ConsPlusTitle"/>
        <w:jc w:val="center"/>
      </w:pPr>
      <w:r w:rsidRPr="00877FE3">
        <w:t>от 23 августа 2007 г. N 540</w:t>
      </w:r>
    </w:p>
    <w:p w:rsidR="00AF05BD" w:rsidRPr="00877FE3" w:rsidRDefault="00AF05BD">
      <w:pPr>
        <w:pStyle w:val="ConsPlusTitle"/>
        <w:jc w:val="center"/>
      </w:pPr>
    </w:p>
    <w:p w:rsidR="00AF05BD" w:rsidRPr="00877FE3" w:rsidRDefault="00AF05BD">
      <w:pPr>
        <w:pStyle w:val="ConsPlusTitle"/>
        <w:jc w:val="center"/>
      </w:pPr>
      <w:r w:rsidRPr="00877FE3">
        <w:t>О СОСТАВЕ И ПОРЯДКЕ</w:t>
      </w:r>
    </w:p>
    <w:p w:rsidR="00AF05BD" w:rsidRPr="00877FE3" w:rsidRDefault="00AF05BD">
      <w:pPr>
        <w:pStyle w:val="ConsPlusTitle"/>
        <w:jc w:val="center"/>
      </w:pPr>
      <w:r w:rsidRPr="00877FE3">
        <w:t>ПРЕДСТАВЛЕНИЯ ОРГАНИЗАТОРОМ АЗАРТНЫХ ИГР СВЕДЕНИЙ,</w:t>
      </w:r>
    </w:p>
    <w:p w:rsidR="00AF05BD" w:rsidRPr="00877FE3" w:rsidRDefault="00AF05BD">
      <w:pPr>
        <w:pStyle w:val="ConsPlusTitle"/>
        <w:jc w:val="center"/>
      </w:pPr>
      <w:proofErr w:type="gramStart"/>
      <w:r w:rsidRPr="00877FE3">
        <w:t>НЕОБХОДИМЫХ</w:t>
      </w:r>
      <w:proofErr w:type="gramEnd"/>
      <w:r w:rsidRPr="00877FE3">
        <w:t xml:space="preserve"> ДЛЯ ОСУЩЕСТВЛЕНИЯ КОНТРОЛЯ ЗА СОБЛЮДЕНИЕМ</w:t>
      </w:r>
    </w:p>
    <w:p w:rsidR="00AF05BD" w:rsidRPr="00877FE3" w:rsidRDefault="00AF05BD">
      <w:pPr>
        <w:pStyle w:val="ConsPlusTitle"/>
        <w:jc w:val="center"/>
      </w:pPr>
      <w:r w:rsidRPr="00877FE3">
        <w:t xml:space="preserve">ТРЕБОВАНИЙ ЗАКОНОДАТЕЛЬСТВА О </w:t>
      </w:r>
      <w:proofErr w:type="gramStart"/>
      <w:r w:rsidRPr="00877FE3">
        <w:t>ГОСУДАРСТВЕННОМ</w:t>
      </w:r>
      <w:proofErr w:type="gramEnd"/>
    </w:p>
    <w:p w:rsidR="00AF05BD" w:rsidRPr="00877FE3" w:rsidRDefault="00AF05BD">
      <w:pPr>
        <w:pStyle w:val="ConsPlusTitle"/>
        <w:jc w:val="center"/>
      </w:pPr>
      <w:proofErr w:type="gramStart"/>
      <w:r w:rsidRPr="00877FE3">
        <w:t>РЕГУЛИРОВАНИИ</w:t>
      </w:r>
      <w:proofErr w:type="gramEnd"/>
      <w:r w:rsidRPr="00877FE3">
        <w:t xml:space="preserve"> ДЕЯТЕЛЬНОСТИ ПО ОРГАНИЗАЦИИ</w:t>
      </w:r>
    </w:p>
    <w:p w:rsidR="00AF05BD" w:rsidRPr="00877FE3" w:rsidRDefault="00AF05BD">
      <w:pPr>
        <w:pStyle w:val="ConsPlusTitle"/>
        <w:jc w:val="center"/>
      </w:pPr>
      <w:r w:rsidRPr="00877FE3">
        <w:t>И ПРОВЕДЕНИЮ АЗАРТНЫХ ИГР</w:t>
      </w:r>
    </w:p>
    <w:p w:rsidR="00AF05BD" w:rsidRPr="00877FE3" w:rsidRDefault="00AF05BD">
      <w:pPr>
        <w:pStyle w:val="ConsPlusNormal"/>
        <w:jc w:val="center"/>
      </w:pPr>
    </w:p>
    <w:p w:rsidR="00AF05BD" w:rsidRPr="00877FE3" w:rsidRDefault="00AF05BD">
      <w:pPr>
        <w:pStyle w:val="ConsPlusNormal"/>
        <w:jc w:val="center"/>
        <w:outlineLvl w:val="1"/>
      </w:pPr>
      <w:r w:rsidRPr="00877FE3">
        <w:t>III. Состав и порядок</w:t>
      </w:r>
    </w:p>
    <w:p w:rsidR="00AF05BD" w:rsidRPr="00877FE3" w:rsidRDefault="00AF05BD">
      <w:pPr>
        <w:pStyle w:val="ConsPlusNormal"/>
        <w:jc w:val="center"/>
      </w:pPr>
      <w:r w:rsidRPr="00877FE3">
        <w:t>представления организатором азартных игр сведений</w:t>
      </w:r>
    </w:p>
    <w:p w:rsidR="00AF05BD" w:rsidRPr="00877FE3" w:rsidRDefault="00AF05BD">
      <w:pPr>
        <w:pStyle w:val="ConsPlusNormal"/>
        <w:jc w:val="center"/>
      </w:pPr>
      <w:r w:rsidRPr="00877FE3">
        <w:t>о техническом состоянии игрового оборудования</w:t>
      </w:r>
    </w:p>
    <w:p w:rsidR="00AF05BD" w:rsidRPr="00877FE3" w:rsidRDefault="00AF05BD">
      <w:pPr>
        <w:pStyle w:val="ConsPlusNormal"/>
        <w:ind w:firstLine="540"/>
        <w:jc w:val="both"/>
      </w:pPr>
    </w:p>
    <w:p w:rsidR="00AF05BD" w:rsidRPr="00877FE3" w:rsidRDefault="00AF05BD">
      <w:pPr>
        <w:pStyle w:val="ConsPlusNormal"/>
        <w:ind w:firstLine="540"/>
        <w:jc w:val="both"/>
      </w:pPr>
      <w:r w:rsidRPr="00877FE3">
        <w:t xml:space="preserve">6. </w:t>
      </w:r>
      <w:proofErr w:type="gramStart"/>
      <w:r w:rsidRPr="00877FE3">
        <w:t xml:space="preserve">Организатор азартных игр, использующий при осуществлении деятельности по организации и проведению азартных игр игровые автоматы, представляет сведения о техническом состоянии игрового оборудования на бумажном носителе или в форме электронного документа с использованием информационно-телекоммуникационных сетей общего пользования, в том числе сети "Интернет", в виде декларации о соответствии игрового оборудования требованиям, предъявляемым к игровому автомату (далее - декларация), по форме согласно </w:t>
      </w:r>
      <w:hyperlink w:anchor="P268" w:history="1">
        <w:r w:rsidRPr="00877FE3">
          <w:t>приложению N</w:t>
        </w:r>
        <w:proofErr w:type="gramEnd"/>
        <w:r w:rsidRPr="00877FE3">
          <w:t xml:space="preserve"> 2</w:t>
        </w:r>
      </w:hyperlink>
      <w:r w:rsidRPr="00877FE3">
        <w:t>.</w:t>
      </w:r>
    </w:p>
    <w:p w:rsidR="00AF05BD" w:rsidRPr="00877FE3" w:rsidRDefault="00AF05BD">
      <w:pPr>
        <w:pStyle w:val="ConsPlusNormal"/>
        <w:jc w:val="both"/>
      </w:pPr>
      <w:r w:rsidRPr="00877FE3">
        <w:t xml:space="preserve">(в ред. </w:t>
      </w:r>
      <w:hyperlink r:id="rId5" w:history="1">
        <w:r w:rsidRPr="00877FE3">
          <w:t>Постановления</w:t>
        </w:r>
      </w:hyperlink>
      <w:r w:rsidRPr="00877FE3">
        <w:t xml:space="preserve"> Правительства РФ от 01.07.2016 N 622)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>7. Декларация на бумажном носителе заполняется организатором азартных игр на каждый игровой автомат в 2 экземплярах.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>Первый экземпляр декларации представляется организатором азартных игр в территориальный орган Федеральной налоговой службы, в котором зарегистрированы декларируемые игровые автоматы (далее - территориальный налоговый орган). Второй экземпляр декларации на бумажном носителе находится в игорном заведении, в котором установлен декларируемый игровой автомат.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>Декларация, представляемая на бумажном носителе, подписывается руководителем организатора азартных игр (иным лицом, имеющим право действовать без доверенности от имени юридического лица) и заверяется печатью (при наличии печати).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>Декларация, представляемая в форме электронного документа, подписывается усиленной квалифицированной электронной подписью руководителя организатора азартных игр (иного лица, имеющего право действовать без доверенности от имени юридического лица).</w:t>
      </w:r>
    </w:p>
    <w:p w:rsidR="00AF05BD" w:rsidRPr="00877FE3" w:rsidRDefault="00AF05BD">
      <w:pPr>
        <w:pStyle w:val="ConsPlusNormal"/>
        <w:jc w:val="both"/>
      </w:pPr>
      <w:r w:rsidRPr="00877FE3">
        <w:t xml:space="preserve">(п. 7 в ред. </w:t>
      </w:r>
      <w:hyperlink r:id="rId6" w:history="1">
        <w:r w:rsidRPr="00877FE3">
          <w:t>Постановления</w:t>
        </w:r>
      </w:hyperlink>
      <w:r w:rsidRPr="00877FE3">
        <w:t xml:space="preserve"> Правительства РФ от 01.07.2016 N 622)</w:t>
      </w:r>
    </w:p>
    <w:p w:rsidR="00AF05BD" w:rsidRPr="00877FE3" w:rsidRDefault="00AF05BD">
      <w:pPr>
        <w:pStyle w:val="ConsPlusNormal"/>
        <w:ind w:firstLine="540"/>
        <w:jc w:val="both"/>
      </w:pPr>
      <w:bookmarkStart w:id="1" w:name="P79"/>
      <w:bookmarkEnd w:id="1"/>
      <w:r w:rsidRPr="00877FE3">
        <w:t>8. Декларация представляется в территориальный налоговый орган при каждом изменении наименования и версии игровых программ, установленных в игровом автомате, а также при изменении значения технически заложенного процента выигрыша.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 xml:space="preserve">9. В первый раз декларация представляется в территориальный налоговый орган в срок не позднее 10 рабочих дней </w:t>
      </w:r>
      <w:proofErr w:type="gramStart"/>
      <w:r w:rsidRPr="00877FE3">
        <w:t>с даты вступления</w:t>
      </w:r>
      <w:proofErr w:type="gramEnd"/>
      <w:r w:rsidRPr="00877FE3">
        <w:t xml:space="preserve"> в силу настоящих Правил, в дальнейшем - не позднее 5 рабочих дней с даты внесения изменений, указанных в </w:t>
      </w:r>
      <w:hyperlink w:anchor="P79" w:history="1">
        <w:r w:rsidRPr="00877FE3">
          <w:t>пункте 8</w:t>
        </w:r>
      </w:hyperlink>
      <w:r w:rsidRPr="00877FE3">
        <w:t xml:space="preserve"> настоящих Правил.</w:t>
      </w:r>
    </w:p>
    <w:p w:rsidR="00AF05BD" w:rsidRPr="00877FE3" w:rsidRDefault="00AF05BD">
      <w:pPr>
        <w:pStyle w:val="ConsPlusNormal"/>
        <w:ind w:firstLine="540"/>
        <w:jc w:val="both"/>
      </w:pPr>
    </w:p>
    <w:p w:rsidR="00AF05BD" w:rsidRPr="00877FE3" w:rsidRDefault="00AF05BD">
      <w:pPr>
        <w:pStyle w:val="ConsPlusNormal"/>
        <w:jc w:val="center"/>
        <w:outlineLvl w:val="1"/>
      </w:pPr>
      <w:r w:rsidRPr="00877FE3">
        <w:t>V. Состав и порядок представления организатором</w:t>
      </w:r>
    </w:p>
    <w:p w:rsidR="00AF05BD" w:rsidRPr="00877FE3" w:rsidRDefault="00AF05BD">
      <w:pPr>
        <w:pStyle w:val="ConsPlusNormal"/>
        <w:jc w:val="center"/>
      </w:pPr>
      <w:r w:rsidRPr="00877FE3">
        <w:t>азартных игр сведений о лицах, предусмотренных частью 11</w:t>
      </w:r>
    </w:p>
    <w:p w:rsidR="00AF05BD" w:rsidRPr="00877FE3" w:rsidRDefault="00AF05BD">
      <w:pPr>
        <w:pStyle w:val="ConsPlusNormal"/>
        <w:jc w:val="center"/>
      </w:pPr>
      <w:r w:rsidRPr="00877FE3">
        <w:t>статьи 6 Федерального закона</w:t>
      </w:r>
    </w:p>
    <w:p w:rsidR="00AF05BD" w:rsidRPr="00877FE3" w:rsidRDefault="00AF05BD">
      <w:pPr>
        <w:pStyle w:val="ConsPlusNormal"/>
        <w:ind w:firstLine="540"/>
        <w:jc w:val="both"/>
      </w:pPr>
    </w:p>
    <w:p w:rsidR="00AF05BD" w:rsidRPr="00877FE3" w:rsidRDefault="00AF05BD">
      <w:pPr>
        <w:pStyle w:val="ConsPlusNormal"/>
        <w:jc w:val="center"/>
      </w:pPr>
      <w:r w:rsidRPr="00877FE3">
        <w:t>(</w:t>
      </w:r>
      <w:proofErr w:type="gramStart"/>
      <w:r w:rsidRPr="00877FE3">
        <w:t>введен</w:t>
      </w:r>
      <w:proofErr w:type="gramEnd"/>
      <w:r w:rsidRPr="00877FE3">
        <w:t xml:space="preserve"> </w:t>
      </w:r>
      <w:hyperlink r:id="rId7" w:history="1">
        <w:r w:rsidRPr="00877FE3">
          <w:t>Постановлением</w:t>
        </w:r>
      </w:hyperlink>
      <w:r w:rsidRPr="00877FE3">
        <w:t xml:space="preserve"> Правительства РФ от 27.11.2010 N 948)</w:t>
      </w:r>
    </w:p>
    <w:p w:rsidR="00AF05BD" w:rsidRPr="00877FE3" w:rsidRDefault="00AF05BD">
      <w:pPr>
        <w:pStyle w:val="ConsPlusNormal"/>
        <w:ind w:firstLine="540"/>
        <w:jc w:val="both"/>
      </w:pPr>
    </w:p>
    <w:p w:rsidR="00AF05BD" w:rsidRPr="00877FE3" w:rsidRDefault="00AF05BD">
      <w:pPr>
        <w:pStyle w:val="ConsPlusNormal"/>
        <w:ind w:firstLine="540"/>
        <w:jc w:val="both"/>
      </w:pPr>
      <w:r w:rsidRPr="00877FE3">
        <w:t xml:space="preserve">15. </w:t>
      </w:r>
      <w:proofErr w:type="gramStart"/>
      <w:r w:rsidRPr="00877FE3">
        <w:t xml:space="preserve">Организатор азартных игр ежегодно представляет сведения о лицах, которые имеют голосующие акции или долю в уставном капитале этого организатора азартных игр в размере не менее 10 процентов и соответственно прямо и (или) косвенно могут оказывать существенное </w:t>
      </w:r>
      <w:r w:rsidRPr="00877FE3">
        <w:lastRenderedPageBreak/>
        <w:t>влияние на решение вопросов, отнесенных к компетенции общего собрания учредителей (участников) этого организатора азартных игр (далее - отчет), а также документы, подтверждающие указанные сведения.</w:t>
      </w:r>
      <w:proofErr w:type="gramEnd"/>
    </w:p>
    <w:p w:rsidR="00AF05BD" w:rsidRPr="00877FE3" w:rsidRDefault="00AF05BD">
      <w:pPr>
        <w:pStyle w:val="ConsPlusNormal"/>
        <w:jc w:val="both"/>
      </w:pPr>
      <w:r w:rsidRPr="00877FE3">
        <w:t xml:space="preserve">(в ред. </w:t>
      </w:r>
      <w:hyperlink r:id="rId8" w:history="1">
        <w:r w:rsidRPr="00877FE3">
          <w:t>Постановления</w:t>
        </w:r>
      </w:hyperlink>
      <w:r w:rsidRPr="00877FE3">
        <w:t xml:space="preserve"> Правительства РФ от 26.06.2015 N 639)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>В отчете указывается количество голосующих акций (размер доли) в уставном капитале организатора азартных игр, которые имеет акционер (участник).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 xml:space="preserve">16. Отчет представляется на бумажном носителе или в форме электронного документа с использованием информационно-телекоммуникационных сетей общего пользования, в том числе сети "Интернет", по состоянию на 31 декабря отчетного года не позднее 3 месяцев по окончании отчетного года по форме согласно </w:t>
      </w:r>
      <w:hyperlink w:anchor="P343" w:history="1">
        <w:r w:rsidRPr="00877FE3">
          <w:t>приложению N 4</w:t>
        </w:r>
      </w:hyperlink>
      <w:r w:rsidRPr="00877FE3">
        <w:t>.</w:t>
      </w:r>
    </w:p>
    <w:p w:rsidR="00AF05BD" w:rsidRPr="00877FE3" w:rsidRDefault="00AF05BD">
      <w:pPr>
        <w:pStyle w:val="ConsPlusNormal"/>
        <w:jc w:val="both"/>
      </w:pPr>
      <w:r w:rsidRPr="00877FE3">
        <w:t xml:space="preserve">(в ред. Постановлений Правительства РФ от 26.06.2015 </w:t>
      </w:r>
      <w:hyperlink r:id="rId9" w:history="1">
        <w:r w:rsidRPr="00877FE3">
          <w:t>N 639</w:t>
        </w:r>
      </w:hyperlink>
      <w:r w:rsidRPr="00877FE3">
        <w:t xml:space="preserve">, от 01.07.2016 </w:t>
      </w:r>
      <w:hyperlink r:id="rId10" w:history="1">
        <w:r w:rsidRPr="00877FE3">
          <w:t>N 622</w:t>
        </w:r>
      </w:hyperlink>
      <w:r w:rsidRPr="00877FE3">
        <w:t>)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 xml:space="preserve">17. При заполнении отчета в каждую строку вписывается только 1 значение показателя. </w:t>
      </w:r>
      <w:proofErr w:type="gramStart"/>
      <w:r w:rsidRPr="00877FE3">
        <w:t>В случае отсутствия значений показателей в соответствующих строке и (или) графе ставится прочерк.</w:t>
      </w:r>
      <w:proofErr w:type="gramEnd"/>
    </w:p>
    <w:p w:rsidR="00AF05BD" w:rsidRPr="00877FE3" w:rsidRDefault="00AF05BD">
      <w:pPr>
        <w:pStyle w:val="ConsPlusNormal"/>
        <w:ind w:firstLine="540"/>
        <w:jc w:val="both"/>
      </w:pPr>
      <w:r w:rsidRPr="00877FE3">
        <w:t>18. К отчету прилагаются документы (выписка из реестра акционеров общества или выписка из Единого государственного реестра юридических лиц), подтверждающие сведения о лицах, которые имеют голосующие акции или долю в уставном капитале организатора азартных игр в размере не менее 10 процентов.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 xml:space="preserve">Указанные документы представляются вместе с годовой бухгалтерской (финансовой) отчетностью, предусмотренной </w:t>
      </w:r>
      <w:hyperlink w:anchor="P127" w:history="1">
        <w:r w:rsidRPr="00877FE3">
          <w:t>пунктом 22</w:t>
        </w:r>
      </w:hyperlink>
      <w:r w:rsidRPr="00877FE3">
        <w:t xml:space="preserve"> настоящих Правил, в территориальные органы Федеральной налоговой службы по месту нахождения организатора азартных игр.</w:t>
      </w:r>
    </w:p>
    <w:p w:rsidR="00AF05BD" w:rsidRPr="00877FE3" w:rsidRDefault="00AF05BD">
      <w:pPr>
        <w:pStyle w:val="ConsPlusNormal"/>
        <w:jc w:val="both"/>
      </w:pPr>
      <w:r w:rsidRPr="00877FE3">
        <w:t xml:space="preserve">(абзац введен </w:t>
      </w:r>
      <w:hyperlink r:id="rId11" w:history="1">
        <w:r w:rsidRPr="00877FE3">
          <w:t>Постановлением</w:t>
        </w:r>
      </w:hyperlink>
      <w:r w:rsidRPr="00877FE3">
        <w:t xml:space="preserve"> Правительства РФ от 26.06.2015 N 639; в ред. </w:t>
      </w:r>
      <w:hyperlink r:id="rId12" w:history="1">
        <w:r w:rsidRPr="00877FE3">
          <w:t>Постановления</w:t>
        </w:r>
      </w:hyperlink>
      <w:r w:rsidRPr="00877FE3">
        <w:t xml:space="preserve"> Правительства РФ от 01.07.2016 N 622)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>Указанные документы, представляемые на бумажном носителе, подписываются руководителем организатора азартных игр (иным лицом, имеющим право действовать без доверенности от имени юридического лица) и заверяются печатью (при наличии печати).</w:t>
      </w:r>
    </w:p>
    <w:p w:rsidR="00AF05BD" w:rsidRPr="00877FE3" w:rsidRDefault="00AF05BD">
      <w:pPr>
        <w:pStyle w:val="ConsPlusNormal"/>
        <w:jc w:val="both"/>
      </w:pPr>
      <w:r w:rsidRPr="00877FE3">
        <w:t xml:space="preserve">(абзац введен </w:t>
      </w:r>
      <w:hyperlink r:id="rId13" w:history="1">
        <w:r w:rsidRPr="00877FE3">
          <w:t>Постановлением</w:t>
        </w:r>
      </w:hyperlink>
      <w:r w:rsidRPr="00877FE3">
        <w:t xml:space="preserve"> Правительства РФ от 01.07.2016 N 622)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>Указанные документы, представляемые в форме электронного документа, подписываются усиленной квалифицированной электронной подписью руководителя организатора азартных игр (иного лица, имеющего право действовать без доверенности от имени юридического лица).</w:t>
      </w:r>
    </w:p>
    <w:p w:rsidR="00AF05BD" w:rsidRPr="00877FE3" w:rsidRDefault="00AF05BD">
      <w:pPr>
        <w:pStyle w:val="ConsPlusNormal"/>
        <w:jc w:val="both"/>
      </w:pPr>
      <w:r w:rsidRPr="00877FE3">
        <w:t xml:space="preserve">(абзац введен </w:t>
      </w:r>
      <w:hyperlink r:id="rId14" w:history="1">
        <w:r w:rsidRPr="00877FE3">
          <w:t>Постановлением</w:t>
        </w:r>
      </w:hyperlink>
      <w:r w:rsidRPr="00877FE3">
        <w:t xml:space="preserve"> Правительства РФ от 01.07.2016 N 622)</w:t>
      </w:r>
    </w:p>
    <w:p w:rsidR="00AF05BD" w:rsidRPr="00877FE3" w:rsidRDefault="00AF05BD">
      <w:pPr>
        <w:pStyle w:val="ConsPlusNormal"/>
        <w:ind w:firstLine="540"/>
        <w:jc w:val="both"/>
      </w:pPr>
    </w:p>
    <w:p w:rsidR="00AF05BD" w:rsidRPr="00877FE3" w:rsidRDefault="00AF05BD">
      <w:pPr>
        <w:pStyle w:val="ConsPlusNormal"/>
        <w:jc w:val="center"/>
        <w:outlineLvl w:val="1"/>
      </w:pPr>
      <w:r w:rsidRPr="00877FE3">
        <w:t>VI. Состав и порядок представления организаторами</w:t>
      </w:r>
    </w:p>
    <w:p w:rsidR="00AF05BD" w:rsidRPr="00877FE3" w:rsidRDefault="00AF05BD">
      <w:pPr>
        <w:pStyle w:val="ConsPlusNormal"/>
        <w:jc w:val="center"/>
      </w:pPr>
      <w:r w:rsidRPr="00877FE3">
        <w:t>азартных игр в букмекерских конторах и тотализаторах</w:t>
      </w:r>
    </w:p>
    <w:p w:rsidR="00AF05BD" w:rsidRPr="00877FE3" w:rsidRDefault="00AF05BD">
      <w:pPr>
        <w:pStyle w:val="ConsPlusNormal"/>
        <w:jc w:val="center"/>
      </w:pPr>
      <w:r w:rsidRPr="00877FE3">
        <w:t>информации о выигрышах, предусмотренных пунктом 2</w:t>
      </w:r>
    </w:p>
    <w:p w:rsidR="00AF05BD" w:rsidRPr="00877FE3" w:rsidRDefault="00AF05BD">
      <w:pPr>
        <w:pStyle w:val="ConsPlusNormal"/>
        <w:jc w:val="center"/>
      </w:pPr>
      <w:r w:rsidRPr="00877FE3">
        <w:t>части 1 статьи 6.1 Федерального закона</w:t>
      </w:r>
    </w:p>
    <w:p w:rsidR="00AF05BD" w:rsidRPr="00877FE3" w:rsidRDefault="00AF05BD">
      <w:pPr>
        <w:pStyle w:val="ConsPlusNormal"/>
        <w:jc w:val="center"/>
      </w:pPr>
    </w:p>
    <w:p w:rsidR="00AF05BD" w:rsidRPr="00877FE3" w:rsidRDefault="00AF05BD">
      <w:pPr>
        <w:pStyle w:val="ConsPlusNormal"/>
        <w:jc w:val="center"/>
      </w:pPr>
      <w:r w:rsidRPr="00877FE3">
        <w:t>(</w:t>
      </w:r>
      <w:proofErr w:type="gramStart"/>
      <w:r w:rsidRPr="00877FE3">
        <w:t>введен</w:t>
      </w:r>
      <w:proofErr w:type="gramEnd"/>
      <w:r w:rsidRPr="00877FE3">
        <w:t xml:space="preserve"> </w:t>
      </w:r>
      <w:hyperlink r:id="rId15" w:history="1">
        <w:r w:rsidRPr="00877FE3">
          <w:t>Постановлением</w:t>
        </w:r>
      </w:hyperlink>
      <w:r w:rsidRPr="00877FE3">
        <w:t xml:space="preserve"> Правительства РФ от 17.12.2013 N 1174)</w:t>
      </w:r>
    </w:p>
    <w:p w:rsidR="00AF05BD" w:rsidRPr="00877FE3" w:rsidRDefault="00AF05BD">
      <w:pPr>
        <w:pStyle w:val="ConsPlusNormal"/>
        <w:jc w:val="both"/>
      </w:pPr>
    </w:p>
    <w:p w:rsidR="00AF05BD" w:rsidRPr="00877FE3" w:rsidRDefault="00AF05BD">
      <w:pPr>
        <w:pStyle w:val="ConsPlusNormal"/>
        <w:ind w:firstLine="540"/>
        <w:jc w:val="both"/>
      </w:pPr>
      <w:bookmarkStart w:id="2" w:name="P115"/>
      <w:bookmarkEnd w:id="2"/>
      <w:r w:rsidRPr="00877FE3">
        <w:t>19. Организаторы азартных игр в букмекерских конторах и тотализаторах представляют в Федеральную налоговую службу и общероссийскую спортивную федерацию по соответствующему виду спорта информацию о выигрышах, выплаченных или подлежащих выплате по результатам пари, заключенных на официальные спортивные соревнования, завершившиеся с наименее вероятным результатом или исходом.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 xml:space="preserve">20. </w:t>
      </w:r>
      <w:proofErr w:type="gramStart"/>
      <w:r w:rsidRPr="00877FE3">
        <w:t xml:space="preserve">Информация, предусмотренная </w:t>
      </w:r>
      <w:hyperlink w:anchor="P115" w:history="1">
        <w:r w:rsidRPr="00877FE3">
          <w:t>пунктом 19</w:t>
        </w:r>
      </w:hyperlink>
      <w:r w:rsidRPr="00877FE3">
        <w:t xml:space="preserve"> настоящих Правил, представляется на бумажном носителе или в электронной форме с использованием информационно-телекоммуникационных сетей общего пользования, в том числе сети "Интернет", не позднее 30 дней со дня проведения официального спортивного соревнования по форме согласно </w:t>
      </w:r>
      <w:hyperlink w:anchor="P417" w:history="1">
        <w:r w:rsidRPr="00877FE3">
          <w:t>приложению N 5</w:t>
        </w:r>
      </w:hyperlink>
      <w:r w:rsidRPr="00877FE3">
        <w:t xml:space="preserve"> с соблюдением законодательства Российской Федерации в области персональных данных и законодательства Российской Федерации о коммерческой тайне.</w:t>
      </w:r>
      <w:proofErr w:type="gramEnd"/>
    </w:p>
    <w:p w:rsidR="00AF05BD" w:rsidRPr="00877FE3" w:rsidRDefault="00AF05BD">
      <w:pPr>
        <w:pStyle w:val="ConsPlusNormal"/>
        <w:ind w:firstLine="540"/>
        <w:jc w:val="both"/>
      </w:pPr>
      <w:r w:rsidRPr="00877FE3">
        <w:t>Указанная информация, представляемая на бумажном носителе, подписывается руководителем организатора азартных игр (иным лицом, имеющим право действовать без доверенности от имени юридического лица) и заверяется печатью (при наличии печати).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 xml:space="preserve">Указанная информация, представляемая в форме электронного документа, подписывается усиленной квалифицированной электронной подписью руководителя организатора азартных игр </w:t>
      </w:r>
      <w:r w:rsidRPr="00877FE3">
        <w:lastRenderedPageBreak/>
        <w:t>(иного лица, имеющего право действовать без доверенности от имени юридического лица).</w:t>
      </w:r>
    </w:p>
    <w:p w:rsidR="00AF05BD" w:rsidRPr="00877FE3" w:rsidRDefault="00AF05BD">
      <w:pPr>
        <w:pStyle w:val="ConsPlusNormal"/>
        <w:jc w:val="both"/>
      </w:pPr>
      <w:r w:rsidRPr="00877FE3">
        <w:t xml:space="preserve">(п. 20 в ред. </w:t>
      </w:r>
      <w:hyperlink r:id="rId16" w:history="1">
        <w:r w:rsidRPr="00877FE3">
          <w:t>Постановления</w:t>
        </w:r>
      </w:hyperlink>
      <w:r w:rsidRPr="00877FE3">
        <w:t xml:space="preserve"> Правительства РФ от 01.07.2016 N 622)</w:t>
      </w:r>
    </w:p>
    <w:p w:rsidR="00AF05BD" w:rsidRPr="00877FE3" w:rsidRDefault="00AF05BD">
      <w:pPr>
        <w:pStyle w:val="ConsPlusNormal"/>
        <w:ind w:firstLine="540"/>
        <w:jc w:val="both"/>
      </w:pPr>
      <w:r w:rsidRPr="00877FE3">
        <w:t xml:space="preserve">21. При заполнении формы в каждую строку вписывается только 1 значение показателя. </w:t>
      </w:r>
      <w:proofErr w:type="gramStart"/>
      <w:r w:rsidRPr="00877FE3">
        <w:t>В случае отсутствия значений показателей в соответствующих строке и (или) графе ставится прочерк.</w:t>
      </w:r>
      <w:proofErr w:type="gramEnd"/>
    </w:p>
    <w:bookmarkEnd w:id="0"/>
    <w:p w:rsidR="00AF05BD" w:rsidRPr="00877FE3" w:rsidRDefault="00AF05BD">
      <w:pPr>
        <w:pStyle w:val="ConsPlusNormal"/>
        <w:ind w:firstLine="540"/>
        <w:jc w:val="both"/>
      </w:pPr>
    </w:p>
    <w:sectPr w:rsidR="00AF05BD" w:rsidRPr="00877FE3" w:rsidSect="00F1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BD"/>
    <w:rsid w:val="00877FE3"/>
    <w:rsid w:val="009E0235"/>
    <w:rsid w:val="00AF05BD"/>
    <w:rsid w:val="00B91AA6"/>
    <w:rsid w:val="00CA1F55"/>
    <w:rsid w:val="00E55B30"/>
    <w:rsid w:val="00F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DEB95660FFFEACBB6A87666E259D06615722B103619FDFDFC3F4BC013B6F279581F55FF143BCBr3v5I" TargetMode="External"/><Relationship Id="rId13" Type="http://schemas.openxmlformats.org/officeDocument/2006/relationships/hyperlink" Target="consultantplus://offline/ref=63CDEB95660FFFEACBB6A87666E259D0651D7223193019FDFDFC3F4BC013B6F279581F55FF143BC9r3v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CDEB95660FFFEACBB6A87666E259D0661D7426133219FDFDFC3F4BC013B6F279581F55FF143BCBr3v5I" TargetMode="External"/><Relationship Id="rId12" Type="http://schemas.openxmlformats.org/officeDocument/2006/relationships/hyperlink" Target="consultantplus://offline/ref=63CDEB95660FFFEACBB6A87666E259D0651D7223193019FDFDFC3F4BC013B6F279581F55FF143BC9r3vF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CDEB95660FFFEACBB6A87666E259D0651D7223193019FDFDFC3F4BC013B6F279581F55FF143BC9r3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DEB95660FFFEACBB6A87666E259D0651D7223193019FDFDFC3F4BC013B6F279581F55FF143BCAr3vAI" TargetMode="External"/><Relationship Id="rId11" Type="http://schemas.openxmlformats.org/officeDocument/2006/relationships/hyperlink" Target="consultantplus://offline/ref=63CDEB95660FFFEACBB6A87666E259D06615722B103619FDFDFC3F4BC013B6F279581F55FF143BCAr3vDI" TargetMode="External"/><Relationship Id="rId5" Type="http://schemas.openxmlformats.org/officeDocument/2006/relationships/hyperlink" Target="consultantplus://offline/ref=63CDEB95660FFFEACBB6A87666E259D0651D7223193019FDFDFC3F4BC013B6F279581F55FF143BCAr3v9I" TargetMode="External"/><Relationship Id="rId15" Type="http://schemas.openxmlformats.org/officeDocument/2006/relationships/hyperlink" Target="consultantplus://offline/ref=63CDEB95660FFFEACBB6A87666E259D06618762A153A19FDFDFC3F4BC013B6F279581F55FF143BCAr3vCI" TargetMode="External"/><Relationship Id="rId10" Type="http://schemas.openxmlformats.org/officeDocument/2006/relationships/hyperlink" Target="consultantplus://offline/ref=63CDEB95660FFFEACBB6A87666E259D0651D7223193019FDFDFC3F4BC013B6F279581F55FF143BC9r3v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DEB95660FFFEACBB6A87666E259D06615722B103619FDFDFC3F4BC013B6F279581F55FF143BCAr3vCI" TargetMode="External"/><Relationship Id="rId14" Type="http://schemas.openxmlformats.org/officeDocument/2006/relationships/hyperlink" Target="consultantplus://offline/ref=63CDEB95660FFFEACBB6A87666E259D0651D7223193019FDFDFC3F4BC013B6F279581F55FF143BC9r3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2017-02-10T08:47:00Z</dcterms:created>
  <dcterms:modified xsi:type="dcterms:W3CDTF">2017-02-13T14:34:00Z</dcterms:modified>
</cp:coreProperties>
</file>