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от 17 июня 20</w:t>
      </w:r>
      <w:bookmarkStart w:id="0" w:name="_GoBack"/>
      <w:bookmarkEnd w:id="0"/>
      <w:r w:rsidRPr="005E15D7">
        <w:rPr>
          <w:rFonts w:ascii="Arial" w:hAnsi="Arial" w:cs="Arial"/>
          <w:b/>
          <w:bCs/>
          <w:sz w:val="20"/>
          <w:szCs w:val="20"/>
        </w:rPr>
        <w:t>15 г. N 600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ОБЪЕКТОВ И ТЕХНОЛОГИЙ, КОТОРЫЕ ОТНОСЯТСЯ К ОБЪЕКТАМ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И ТЕХНОЛОГИЯМ ВЫСОКОЙ ЭНЕРГЕТИЧЕСКОЙ ЭФФЕКТИВНОСТИ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5E15D7">
          <w:rPr>
            <w:rFonts w:ascii="Arial" w:hAnsi="Arial" w:cs="Arial"/>
            <w:sz w:val="20"/>
            <w:szCs w:val="20"/>
          </w:rPr>
          <w:t>подпунктом 5 пункта 1 статьи 67</w:t>
        </w:r>
      </w:hyperlink>
      <w:r w:rsidRPr="005E15D7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5E15D7">
          <w:rPr>
            <w:rFonts w:ascii="Arial" w:hAnsi="Arial" w:cs="Arial"/>
            <w:sz w:val="20"/>
            <w:szCs w:val="20"/>
          </w:rPr>
          <w:t>подпунктом 4 пункта 1 статьи 259.3</w:t>
        </w:r>
      </w:hyperlink>
      <w:r w:rsidRPr="005E15D7">
        <w:rPr>
          <w:rFonts w:ascii="Arial" w:hAnsi="Arial" w:cs="Arial"/>
          <w:sz w:val="20"/>
          <w:szCs w:val="20"/>
        </w:rPr>
        <w:t xml:space="preserve"> и </w:t>
      </w:r>
      <w:hyperlink r:id="rId7" w:history="1">
        <w:r w:rsidRPr="005E15D7">
          <w:rPr>
            <w:rFonts w:ascii="Arial" w:hAnsi="Arial" w:cs="Arial"/>
            <w:sz w:val="20"/>
            <w:szCs w:val="20"/>
          </w:rPr>
          <w:t>пунктом 21 статьи 381</w:t>
        </w:r>
      </w:hyperlink>
      <w:r w:rsidRPr="005E15D7">
        <w:rPr>
          <w:rFonts w:ascii="Arial" w:hAnsi="Arial" w:cs="Arial"/>
          <w:sz w:val="20"/>
          <w:szCs w:val="20"/>
        </w:rPr>
        <w:t xml:space="preserve"> Налогового кодекса Российской Федерации Правительство Российской Федерации постановляет: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2" w:history="1">
        <w:r w:rsidRPr="005E15D7">
          <w:rPr>
            <w:rFonts w:ascii="Arial" w:hAnsi="Arial" w:cs="Arial"/>
            <w:sz w:val="20"/>
            <w:szCs w:val="20"/>
          </w:rPr>
          <w:t>перечень</w:t>
        </w:r>
      </w:hyperlink>
      <w:r w:rsidRPr="005E15D7">
        <w:rPr>
          <w:rFonts w:ascii="Arial" w:hAnsi="Arial" w:cs="Arial"/>
          <w:sz w:val="20"/>
          <w:szCs w:val="20"/>
        </w:rPr>
        <w:t xml:space="preserve"> объектов и технологий, которые относятся к объектам и технологиям высокой энергетической эффективности.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2. Министерству промышленности и торговли Российской Федерации обеспечить: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 xml:space="preserve">актуализацию </w:t>
      </w:r>
      <w:hyperlink w:anchor="Par32" w:history="1">
        <w:r w:rsidRPr="005E15D7">
          <w:rPr>
            <w:rFonts w:ascii="Arial" w:hAnsi="Arial" w:cs="Arial"/>
            <w:sz w:val="20"/>
            <w:szCs w:val="20"/>
          </w:rPr>
          <w:t>перечня</w:t>
        </w:r>
      </w:hyperlink>
      <w:r w:rsidRPr="005E15D7">
        <w:rPr>
          <w:rFonts w:ascii="Arial" w:hAnsi="Arial" w:cs="Arial"/>
          <w:sz w:val="20"/>
          <w:szCs w:val="20"/>
        </w:rPr>
        <w:t xml:space="preserve"> объектов и технологий, которые относятся к объектам и технологиям высокой энергетической эффективности, не реже одного раза в год, начиная с 1 января 2016 г.;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 xml:space="preserve">анализ практики применения льгот, предусмотренных </w:t>
      </w:r>
      <w:hyperlink r:id="rId8" w:history="1">
        <w:r w:rsidRPr="005E15D7">
          <w:rPr>
            <w:rFonts w:ascii="Arial" w:hAnsi="Arial" w:cs="Arial"/>
            <w:sz w:val="20"/>
            <w:szCs w:val="20"/>
          </w:rPr>
          <w:t>подпунктом 5 пункта 1 статьи 67</w:t>
        </w:r>
      </w:hyperlink>
      <w:r w:rsidRPr="005E15D7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5E15D7">
          <w:rPr>
            <w:rFonts w:ascii="Arial" w:hAnsi="Arial" w:cs="Arial"/>
            <w:sz w:val="20"/>
            <w:szCs w:val="20"/>
          </w:rPr>
          <w:t>подпунктом 4 пункта 1 статьи 259.3</w:t>
        </w:r>
      </w:hyperlink>
      <w:r w:rsidRPr="005E15D7">
        <w:rPr>
          <w:rFonts w:ascii="Arial" w:hAnsi="Arial" w:cs="Arial"/>
          <w:sz w:val="20"/>
          <w:szCs w:val="20"/>
        </w:rPr>
        <w:t xml:space="preserve"> и </w:t>
      </w:r>
      <w:hyperlink r:id="rId10" w:history="1">
        <w:r w:rsidRPr="005E15D7">
          <w:rPr>
            <w:rFonts w:ascii="Arial" w:hAnsi="Arial" w:cs="Arial"/>
            <w:sz w:val="20"/>
            <w:szCs w:val="20"/>
          </w:rPr>
          <w:t>пунктом 21 статьи 381</w:t>
        </w:r>
      </w:hyperlink>
      <w:r w:rsidRPr="005E15D7">
        <w:rPr>
          <w:rFonts w:ascii="Arial" w:hAnsi="Arial" w:cs="Arial"/>
          <w:sz w:val="20"/>
          <w:szCs w:val="20"/>
        </w:rPr>
        <w:t xml:space="preserve"> Налогового кодекса Российской Федерации, с представлением соответствующего доклада в Правительство Российской Федерации не реже 2-х раз в год, начиная с 1 января 2016 г.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 xml:space="preserve"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промышленности и торговли Российской Федерации, а также бюджетных ассигнований, предусмотренных Министерству в федеральном бюджете на соответствующий финансовый год и плановый период на </w:t>
      </w:r>
      <w:proofErr w:type="gramStart"/>
      <w:r w:rsidRPr="005E15D7">
        <w:rPr>
          <w:rFonts w:ascii="Arial" w:hAnsi="Arial" w:cs="Arial"/>
          <w:sz w:val="20"/>
          <w:szCs w:val="20"/>
        </w:rPr>
        <w:t>руководство</w:t>
      </w:r>
      <w:proofErr w:type="gramEnd"/>
      <w:r w:rsidRPr="005E15D7">
        <w:rPr>
          <w:rFonts w:ascii="Arial" w:hAnsi="Arial" w:cs="Arial"/>
          <w:sz w:val="20"/>
          <w:szCs w:val="20"/>
        </w:rPr>
        <w:t xml:space="preserve"> и управление в сфере установленных функций.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4. Признать утратившими силу:</w:t>
      </w:r>
    </w:p>
    <w:p w:rsidR="00382F41" w:rsidRPr="005E15D7" w:rsidRDefault="005E15D7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382F41" w:rsidRPr="005E15D7">
          <w:rPr>
            <w:rFonts w:ascii="Arial" w:hAnsi="Arial" w:cs="Arial"/>
            <w:sz w:val="20"/>
            <w:szCs w:val="20"/>
          </w:rPr>
          <w:t>постановление</w:t>
        </w:r>
      </w:hyperlink>
      <w:r w:rsidR="00382F41" w:rsidRPr="005E15D7">
        <w:rPr>
          <w:rFonts w:ascii="Arial" w:hAnsi="Arial" w:cs="Arial"/>
          <w:sz w:val="20"/>
          <w:szCs w:val="20"/>
        </w:rPr>
        <w:t xml:space="preserve"> Правительства Российской Федерации от 16 апреля 2012 г. N 308 "Об утверждении перечня объектов, имеющих высокую энергетическую эффективность, для которых не предусмотрено установление классов энергетической эффективности" (Собрание законодательства Российской Федерации, 2012, N 17, ст. 1982);</w:t>
      </w:r>
    </w:p>
    <w:p w:rsidR="00382F41" w:rsidRPr="005E15D7" w:rsidRDefault="005E15D7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382F41" w:rsidRPr="005E15D7">
          <w:rPr>
            <w:rFonts w:ascii="Arial" w:hAnsi="Arial" w:cs="Arial"/>
            <w:sz w:val="20"/>
            <w:szCs w:val="20"/>
          </w:rPr>
          <w:t>постановление</w:t>
        </w:r>
      </w:hyperlink>
      <w:r w:rsidR="00382F41" w:rsidRPr="005E15D7">
        <w:rPr>
          <w:rFonts w:ascii="Arial" w:hAnsi="Arial" w:cs="Arial"/>
          <w:sz w:val="20"/>
          <w:szCs w:val="20"/>
        </w:rPr>
        <w:t xml:space="preserve"> Правительства Российской Федерации от 29 июля 2013 г. N 637 "Об утверждении перечня объектов и технологий, которые относятся к объектам высокой энергетической эффективности в зависимости от применяемых технологий и технических решений и вне зависимости от характеристик объектов, осуществление </w:t>
      </w:r>
      <w:proofErr w:type="gramStart"/>
      <w:r w:rsidR="00382F41" w:rsidRPr="005E15D7">
        <w:rPr>
          <w:rFonts w:ascii="Arial" w:hAnsi="Arial" w:cs="Arial"/>
          <w:sz w:val="20"/>
          <w:szCs w:val="20"/>
        </w:rPr>
        <w:t>инвестиций</w:t>
      </w:r>
      <w:proofErr w:type="gramEnd"/>
      <w:r w:rsidR="00382F41" w:rsidRPr="005E15D7">
        <w:rPr>
          <w:rFonts w:ascii="Arial" w:hAnsi="Arial" w:cs="Arial"/>
          <w:sz w:val="20"/>
          <w:szCs w:val="20"/>
        </w:rPr>
        <w:t xml:space="preserve"> в создание которых является основанием для предоставления инвестиционного налогового кредита, и перечня объектов и технологий, которые относятся к объектам высокой энергетической эффективности на основании соответствия объектов установленным значениям индикатора энергетической эффективности, осуществление </w:t>
      </w:r>
      <w:proofErr w:type="gramStart"/>
      <w:r w:rsidR="00382F41" w:rsidRPr="005E15D7">
        <w:rPr>
          <w:rFonts w:ascii="Arial" w:hAnsi="Arial" w:cs="Arial"/>
          <w:sz w:val="20"/>
          <w:szCs w:val="20"/>
        </w:rPr>
        <w:t>инвестиций</w:t>
      </w:r>
      <w:proofErr w:type="gramEnd"/>
      <w:r w:rsidR="00382F41" w:rsidRPr="005E15D7">
        <w:rPr>
          <w:rFonts w:ascii="Arial" w:hAnsi="Arial" w:cs="Arial"/>
          <w:sz w:val="20"/>
          <w:szCs w:val="20"/>
        </w:rPr>
        <w:t xml:space="preserve"> в создание которых является основанием для предоставления инвестиционного налогового кредита" (Собрание законодательства Российской Федерации, 2013, N 31, ст. 4233).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Председатель Правительства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Российской Федерации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Д.МЕДВЕДЕВ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82F41" w:rsidRPr="005E15D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Российской Федерации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от 17 июня 2015 г. N 600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 w:rsidRPr="005E15D7">
        <w:rPr>
          <w:rFonts w:ascii="Arial" w:hAnsi="Arial" w:cs="Arial"/>
          <w:b/>
          <w:bCs/>
          <w:sz w:val="20"/>
          <w:szCs w:val="20"/>
        </w:rPr>
        <w:t>ПЕРЕЧЕНЬ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ОБЪЕКТОВ И ТЕХНОЛОГИЙ, КОТОРЫЕ ОТНОСЯТСЯ К ОБЪЕКТАМ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5D7">
        <w:rPr>
          <w:rFonts w:ascii="Arial" w:hAnsi="Arial" w:cs="Arial"/>
          <w:b/>
          <w:bCs/>
          <w:sz w:val="20"/>
          <w:szCs w:val="20"/>
        </w:rPr>
        <w:t>И ТЕХНОЛОГИЯМ ВЫСОКОЙ ЭНЕРГЕТИЧЕСКОЙ ЭФФЕКТИВНОСТИ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I. Объекты и технологии, которые относятся к объектам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и технологиям высокой энергетической эффективности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в зависимости от применяемых технологий и технических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решений и вне зависимости от характеристики объектов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232"/>
        <w:gridCol w:w="2757"/>
        <w:gridCol w:w="5221"/>
      </w:tblGrid>
      <w:tr w:rsidR="005E15D7" w:rsidRPr="005E15D7"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Наименование объектов и технологий в соответствии с нормативно-технической документацией </w:t>
            </w:r>
            <w:hyperlink w:anchor="Par556" w:history="1">
              <w:r w:rsidRPr="005E15D7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Код Общероссийского </w:t>
            </w:r>
            <w:hyperlink r:id="rId13" w:history="1">
              <w:r w:rsidRPr="005E15D7">
                <w:rPr>
                  <w:rFonts w:ascii="Arial" w:hAnsi="Arial" w:cs="Arial"/>
                  <w:sz w:val="20"/>
                  <w:szCs w:val="20"/>
                </w:rPr>
                <w:t>классификатора</w:t>
              </w:r>
            </w:hyperlink>
            <w:r w:rsidRPr="005E15D7">
              <w:rPr>
                <w:rFonts w:ascii="Arial" w:hAnsi="Arial" w:cs="Arial"/>
                <w:sz w:val="20"/>
                <w:szCs w:val="20"/>
              </w:rPr>
              <w:t xml:space="preserve"> основных фондов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Качественная характеристика объекта, обусловливающая его высокую энергетическую эффективность</w:t>
            </w:r>
          </w:p>
        </w:tc>
      </w:tr>
      <w:tr w:rsidR="005E15D7" w:rsidRPr="005E15D7">
        <w:tc>
          <w:tcPr>
            <w:tcW w:w="594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Стеклопластиковые и полимерные трубопроводы технологические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120001110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(Трубопроводы технологические)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гарантийный срок службы стеклопластиковых труб превышает 25 лет. При эксплуатации не происходит отложение солей и парафинов, что снижает гидравлические потери по сравнению со стальными трубами. За счет меньшего веса труб и применения быстроразъемных соединительных муфт снижаются трудоемкость, рабочее время и энергетические затраты на монтаж, ремонт и техническое обслуживание трубопроводов</w:t>
            </w:r>
          </w:p>
        </w:tc>
      </w:tr>
      <w:tr w:rsidR="005E15D7" w:rsidRPr="005E15D7">
        <w:tc>
          <w:tcPr>
            <w:tcW w:w="59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Установка предварительного сброса пластовой воды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124521131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(Установка обезвоживания нефти с очисткой пластовой воды)</w:t>
            </w:r>
          </w:p>
        </w:tc>
        <w:tc>
          <w:tcPr>
            <w:tcW w:w="5221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отделение (сбор) попутной пластовой воды от нефти на месторождении дает энергосберегающий эффект за счет сокращения "плеча" транспорта воды в составе водонефтяной эмульсии, снижается энергопотребление механизированного фонда добывающих скважин за счет снижения давления в нефтесборном коллекторе и сокращения "плеча" перекатки водонефтяной эмульсии</w:t>
            </w:r>
          </w:p>
        </w:tc>
      </w:tr>
      <w:tr w:rsidR="005E15D7" w:rsidRPr="005E15D7">
        <w:tc>
          <w:tcPr>
            <w:tcW w:w="59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124521133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(Установка обезвоживания и обессоливания нефти)</w:t>
            </w:r>
          </w:p>
        </w:tc>
        <w:tc>
          <w:tcPr>
            <w:tcW w:w="5221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Установка подготовки нефтяного газа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124521132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(Установка подготовки нефтяного газа)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повышение коэффициента утилизации попутного нефтяного газа за счет применения установки подготовки нефтяного газа для дальнейшего использования его на топливные и технологические нужды и перекачивание до конечного потребителя</w:t>
            </w: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Установки вспомогательные для использования вместе с паровыми котлами и турбинами, утилизирующие вторичные газы металлургических производств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142813020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(Установки вспомогательные для использования вместе с паровыми котлами)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минимизирование потери вторичных топливных газов и возможность их использования для производства пара и электрической энергии на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энергогенерирующих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установках</w:t>
            </w: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Котлы-утилизаторы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142813111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(Котлы-утилизаторы)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котлы-утилизаторы выполняют функцию полезной утилизации (возврата в технологический цикл) тепловой энергии, которая в ином случае была бы безвозвратно потеряна из осуществляемого технологической установкой процесса, являясь, по сути, прямыми потерями топлива из технологического цикла.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Такое оборудование функционально предназначено для использования вторичных энергетических ресурсов, таких как тепловая энергия продуктов сгорания от газотурбинных электростанций, печей и т.п.)</w:t>
            </w:r>
            <w:proofErr w:type="gramEnd"/>
          </w:p>
        </w:tc>
      </w:tr>
      <w:tr w:rsidR="005E15D7" w:rsidRPr="005E15D7">
        <w:tc>
          <w:tcPr>
            <w:tcW w:w="59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3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Установки утилизации тепла, раскаленного доменного и конвертерного шлака, отходящих дымовых газов, топливных газов или вторичного пара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142897280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(Оборудование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теплоутилизационное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21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выработка электрической энергии установками газовых утилизационных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бескомпрессорных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турбин в составе доменных печей за счет эффективного использования избыточного давления доменного газа и без сжигания топлива</w:t>
            </w:r>
          </w:p>
        </w:tc>
      </w:tr>
      <w:tr w:rsidR="005E15D7" w:rsidRPr="005E15D7">
        <w:tc>
          <w:tcPr>
            <w:tcW w:w="59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142919530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(Оборудование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теплоутилизационное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21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Коллекторы солнечные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142897372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(Коллекторы солнечные)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коллекторы солнечные выполняют функцию преобразования возобновляемой солнечной энергии в полезную тепловую энергию. Тепловая энергия может быть использована для горячего водоснабжения и отопления</w:t>
            </w: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Двигатели внутреннего сгорания (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газопоршневые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агрегаты) с зажиганием от свечи для передвижной или стационарной аппаратуры (кроме двигателей для транспортных средств)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142911110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(Двигатели внутреннего сгорания с зажиганием от свечи для передвижной или стационарной аппаратуры (кроме двигателей для транспортных средств)</w:t>
            </w:r>
            <w:proofErr w:type="gramEnd"/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использование в качестве топлива вторичных ресурсов (попутного нефтяного газа, биогаза, металлургических газов (доменный, коксовый и конвертерный)</w:t>
            </w:r>
            <w:proofErr w:type="gramEnd"/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Установки газотурбинные (турбины газовые)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142911130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(Установки газотурбинные (турбины газовые)</w:t>
            </w:r>
            <w:proofErr w:type="gramEnd"/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использование в качестве топлива вторичных ресурсов (попутного нефтяного газа, биогаза)</w:t>
            </w: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Тепловые насосы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142912000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(Насосы и оборудование компрессорное)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использование возобновляемых источников энергии, в частности, тепла грунта, воды и воздуха</w:t>
            </w:r>
          </w:p>
        </w:tc>
      </w:tr>
      <w:tr w:rsidR="005E15D7" w:rsidRPr="005E15D7">
        <w:tc>
          <w:tcPr>
            <w:tcW w:w="59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3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Воздухоразделительная установка без регенерационного типа (с блоком комплексной очистки)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142912121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(Установки воздухоразделительные производительностью до 1000 куб. м/ч (до 5000 куб. м/ч перерабатываемого воздуха)</w:t>
            </w:r>
            <w:proofErr w:type="gramEnd"/>
          </w:p>
        </w:tc>
        <w:tc>
          <w:tcPr>
            <w:tcW w:w="5221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производство газообразного и жидкого азота и кислорода из атмосферного воздуха, что представляет собой более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энергоэффективное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производство продуктов разделения воздуха за счет повышения коэффициента их извлечения</w:t>
            </w:r>
          </w:p>
        </w:tc>
      </w:tr>
      <w:tr w:rsidR="005E15D7" w:rsidRPr="005E15D7">
        <w:tc>
          <w:tcPr>
            <w:tcW w:w="59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142912122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(Установки производительностью 1000 куб. м/ч и свыше (свыше 5000 куб. м/ч перерабатываемого воздуха)</w:t>
            </w:r>
            <w:proofErr w:type="gramEnd"/>
          </w:p>
        </w:tc>
        <w:tc>
          <w:tcPr>
            <w:tcW w:w="5221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Аппараты теплообменные спиральные и пластинчатые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142919200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(Аппараты теплообменные спиральные и пластинчатые)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теплообменники такого типа отличаются компактностью, малыми гидравлическими сопротивлениями и значительной интенсивностью теплообмена при повышенных скоростях теплоносителей (коэффициент теплопередачи в 3 - 4 раза больше чем в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кожухотрубных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, соответственно в 3 - 4 раза поверхность пластинчатых теплообменников меньше чем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кожухотрубных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15D7" w:rsidRPr="005E15D7">
        <w:tc>
          <w:tcPr>
            <w:tcW w:w="59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3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Частотно-регулируемый привод, станции управления с частотно-регулируемым приводом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142929211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(Устройства приводные)</w:t>
            </w:r>
          </w:p>
        </w:tc>
        <w:tc>
          <w:tcPr>
            <w:tcW w:w="5221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уменьшается потребление реактивной мощности в сетях электроснабжения, что ведет к снижению величины тока и соответственно потерь электрической энергии в линиях электропередачи и силовых трансформаторах. Внедрение частотно-регулируемого привода позволяет привести напорно-расходные характеристики насоса в соответствие с гидравлическими характеристиками системы трубопроводов и тем самым снизить затраты энергии на перекачку жидкости до 40 - 50 процентов за счет исключения потерь давления на устройстве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дросселирования</w:t>
            </w:r>
            <w:proofErr w:type="spellEnd"/>
          </w:p>
        </w:tc>
      </w:tr>
      <w:tr w:rsidR="005E15D7" w:rsidRPr="005E15D7">
        <w:tc>
          <w:tcPr>
            <w:tcW w:w="59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143120212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(Преобразователи силовые полупроводниковые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тиристорные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мощностью 5 кВт и свыше для электропривода)</w:t>
            </w:r>
          </w:p>
        </w:tc>
        <w:tc>
          <w:tcPr>
            <w:tcW w:w="5221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9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3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Компенсаторы реактивной мощности (шунтирующий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реактор, управляемый шунтирующий реактор с подмагничиванием постоянным током, конденсаторные батареи, статические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тиристорные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компенсаторы, статические компенсаторы реактивной мощности, выполненные на базе современной силовой электроники)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143114050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(Компенсаторы реактивной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мощности)</w:t>
            </w:r>
          </w:p>
        </w:tc>
        <w:tc>
          <w:tcPr>
            <w:tcW w:w="5221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 xml:space="preserve">снижение потерь электрической энергии в линиях электропередачи и трансформаторах электрических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сетей за счет снижения потребления реактивной мощности в этих сетях</w:t>
            </w:r>
          </w:p>
        </w:tc>
      </w:tr>
      <w:tr w:rsidR="005E15D7" w:rsidRPr="005E15D7">
        <w:tc>
          <w:tcPr>
            <w:tcW w:w="59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143114270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(Компенсаторы реактивной мощности вращающиеся, синхронные)</w:t>
            </w:r>
          </w:p>
        </w:tc>
        <w:tc>
          <w:tcPr>
            <w:tcW w:w="5221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9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143114280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(Компенсаторы реактивной мощности статические)</w:t>
            </w:r>
          </w:p>
        </w:tc>
        <w:tc>
          <w:tcPr>
            <w:tcW w:w="5221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Шинопроводы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низкого напряжения (магистральные, распределительные, осветительные)</w:t>
            </w:r>
            <w:proofErr w:type="gramEnd"/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143120530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Шинопроводы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низкого напряжения)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снижение потери при передаче и распределении электрической энергии при применении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шинопроводов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внутри здания на 20 - 25 процентов по сравнению с обычными кабельными системами</w:t>
            </w: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Генераторы фотоэлектрические (солнечные батареи)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143149160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(Генераторы фотоэлектрические (солнечные батареи)</w:t>
            </w:r>
            <w:proofErr w:type="gramEnd"/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использование возобновляемых источников энергии преобразованием энергии солнца в электрическую энергию</w:t>
            </w:r>
          </w:p>
        </w:tc>
      </w:tr>
      <w:tr w:rsidR="005E15D7" w:rsidRPr="005E15D7">
        <w:tc>
          <w:tcPr>
            <w:tcW w:w="59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3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Установки ветроэнергетические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143149182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(Установки ветроэнергетические)</w:t>
            </w:r>
          </w:p>
        </w:tc>
        <w:tc>
          <w:tcPr>
            <w:tcW w:w="522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использование возобновляемых источников энергии, в частности, ветра преобразованием энергии ветра в электрическую энергию</w:t>
            </w:r>
          </w:p>
        </w:tc>
      </w:tr>
      <w:tr w:rsidR="005E15D7" w:rsidRPr="005E15D7">
        <w:tc>
          <w:tcPr>
            <w:tcW w:w="594" w:type="dxa"/>
            <w:vMerge w:val="restart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32" w:type="dxa"/>
            <w:vMerge w:val="restart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Инфракрасные обогреватели электрические и газовые</w:t>
            </w:r>
          </w:p>
        </w:tc>
        <w:tc>
          <w:tcPr>
            <w:tcW w:w="2757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162930164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(Электрообогреватели инфракрасные)</w:t>
            </w:r>
          </w:p>
        </w:tc>
        <w:tc>
          <w:tcPr>
            <w:tcW w:w="5221" w:type="dxa"/>
            <w:vMerge w:val="restart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повышение энергетической эффективности такого типа нагревателей, что заложено принципиально в способе обогрева - поверхностный нагрев выполняется локально конкретного оборудования или рабочего места, которому требуется обеспечить необходимые температурные условия, остальная часть помещения при этом имеет пониженный температурный режим, что позволяет экономить энергоресурсы на отопление</w:t>
            </w:r>
          </w:p>
        </w:tc>
      </w:tr>
      <w:tr w:rsidR="00382F41" w:rsidRPr="005E15D7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162930470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(Аппараты (печи) отопительные)</w:t>
            </w:r>
          </w:p>
        </w:tc>
        <w:tc>
          <w:tcPr>
            <w:tcW w:w="5221" w:type="dxa"/>
            <w:vMerge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II. Объекты и технологии, которые относятся к объектам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и технологиям высокой энергетической эффективности,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E15D7">
        <w:rPr>
          <w:rFonts w:ascii="Arial" w:hAnsi="Arial" w:cs="Arial"/>
          <w:sz w:val="20"/>
          <w:szCs w:val="20"/>
        </w:rPr>
        <w:t>на основании соответствия объектов установленным</w:t>
      </w:r>
      <w:proofErr w:type="gramEnd"/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значениям индикатора энергетической эффективности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122"/>
        <w:gridCol w:w="2645"/>
        <w:gridCol w:w="2281"/>
        <w:gridCol w:w="2466"/>
        <w:gridCol w:w="1560"/>
        <w:gridCol w:w="2200"/>
      </w:tblGrid>
      <w:tr w:rsidR="005E15D7" w:rsidRPr="005E15D7">
        <w:tc>
          <w:tcPr>
            <w:tcW w:w="36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Наименование объектов и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 xml:space="preserve">технологий в соответствии с нормативно-технической документацией </w:t>
            </w:r>
            <w:hyperlink w:anchor="Par556" w:history="1">
              <w:r w:rsidRPr="005E15D7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 xml:space="preserve">Код Общероссийского </w:t>
            </w:r>
            <w:hyperlink r:id="rId39" w:history="1">
              <w:r w:rsidRPr="005E15D7">
                <w:rPr>
                  <w:rFonts w:ascii="Arial" w:hAnsi="Arial" w:cs="Arial"/>
                  <w:sz w:val="20"/>
                  <w:szCs w:val="20"/>
                </w:rPr>
                <w:t>классификатора</w:t>
              </w:r>
            </w:hyperlink>
            <w:r w:rsidRPr="005E15D7">
              <w:rPr>
                <w:rFonts w:ascii="Arial" w:hAnsi="Arial" w:cs="Arial"/>
                <w:sz w:val="20"/>
                <w:szCs w:val="20"/>
              </w:rPr>
              <w:t xml:space="preserve"> основных фондов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 xml:space="preserve">Существенные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характеристики объекта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Количественный показатель энергетической эффективности</w:t>
            </w:r>
          </w:p>
        </w:tc>
      </w:tr>
      <w:tr w:rsidR="005E15D7" w:rsidRPr="005E15D7">
        <w:tc>
          <w:tcPr>
            <w:tcW w:w="36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5E15D7" w:rsidRPr="005E15D7">
        <w:tc>
          <w:tcPr>
            <w:tcW w:w="514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Котлы паровые водяные и другие парогенераторы, кроме котлов (бойлеров) для центрального отопления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142813010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(Котлы паровые водяные и другие парогенераторы, кроме котлов (бойлеров) для центрального отопления)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топливо - природный газ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94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жидкое топливо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93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Котлы теплофикационные водогрейные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142813120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(Котлы теплофикационные водогрейные)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94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Котлы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пеллетные</w:t>
            </w:r>
            <w:proofErr w:type="spellEnd"/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142897030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(Котлы отопительные, водонагреватели и вспомогательное оборудование к ним)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удельный расход топлива на единицу вырабатываемой электрической или тепловой энергии,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 xml:space="preserve">г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ут</w:t>
            </w:r>
            <w:proofErr w:type="spellEnd"/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/кВт · ч (не более 300)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94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Паротурбинный энергоблок на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суперсверхкритических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параметрах пара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142911120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(Турбины паровые и паросиловые установки прочие)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топлива на единицу вырабатываемой электрической энергии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 xml:space="preserve">г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ут</w:t>
            </w:r>
            <w:proofErr w:type="spellEnd"/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/кВт · ч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275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Турбины паровые и другие паросиловые установки энергетические (турбины паровые стационарные для привода электрических генераторов)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142911121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(Турбины паровые и другие паросиловые установки энергетические (турбины паровые стационарные для привода электрических генераторов)</w:t>
            </w:r>
            <w:proofErr w:type="gramEnd"/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относительный внутренний 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 xml:space="preserve">г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ут</w:t>
            </w:r>
            <w:proofErr w:type="spellEnd"/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/кВт · ч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275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Угольные паротурбинные энергоблоки мощностью более 330 МВт с паровыми котлами с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циркулирующим кипящим слоем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142911122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(Турбины паровые и другие паросиловые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установки приводные)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удельный расход топлива на единицу вырабатываемой </w:t>
            </w: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 xml:space="preserve">г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ут</w:t>
            </w:r>
            <w:proofErr w:type="spellEnd"/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/кВт · ч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275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Установки газотурбинные энергетические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142911131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(Установки газотурбинные энергетические)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мощность МВт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2 до 4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25,1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4 до 6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29,6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6 до 12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31,8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12 до 20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33,5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20 до 30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36,3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30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36,9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Турбины гидравлические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142911140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(Турбины гидравлические)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90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Насосы центробежные многоступенчатые секционные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142912100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(Насосы центробежные)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диапазон производительности, куб. м/час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38 до 60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69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60 до 63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71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63 до 105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61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105 до 180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67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180 до 500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79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500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80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Насосы нефтяные магистральные и подпорные. Оборудование насосное и насосы для нефти и нефтепродуктов. Насосы нефтяные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142912104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(Насосы нефтяные)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диапазон производительности, куб. м/час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55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20 до 40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69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40 до 400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70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400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71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Насосы вихревые и центробежно-вихревые с подачей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142912109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(Насосы вихревые, масляные и центробежные прочие)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производительность, куб. м/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25 до 100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60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100 до 180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75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180 до 480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78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свыше 480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80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Оборудование насосное (насосы, агрегаты и установки насосные). Насосы центробежные, поршневые и роторные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142912110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(Насосы поршневые и роторные)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подача, куб. м/час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до 37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50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38 - 300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70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свыше 300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72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Печи подогрева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142914230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(Печи трубчатые)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трубчатые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85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Насосы двухвинтовые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142916122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(Насосы двухвинтовые)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производительность (подача), куб. м/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30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50 до 100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40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100 до 200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50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200 до 1000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60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1000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70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Вентиляторы осевые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142919553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(Вентиляторы осевые)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при производительности более 5000 куб. м/час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85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Вентиляторы шахтные главного проветривания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142919571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(Вентиляторы шахтные главного проветривания)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84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Вентиляторы шахтные местного проветривания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142919572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(Вентиляторы шахтные местного проветривания)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70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Агрегаты литейно-прокатные для алюминиевой катанки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142923381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(Агрегаты литейно-прокатные для алюминиевой катанки)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энергоресурсов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ут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>/т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12500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Конвейеры шахтные ленточные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142924122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(Конвейеры шахтные ленточные)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ширина ленты - от 1200 до 1600 мм, номинальная скорость ленты - от 3,15 до 4,5 м/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суммарная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 xml:space="preserve"> мощность приводных электродвигателей - от 1200 до 3500 кВт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по перемещению 1 тонны груза на 1 м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кВт ·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/(т · м)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0,0017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Комбайны очистные и установки струговые для добычи угля и руды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142924153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(Комбайны очистные и установки струговые для добычи угля и руды)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суммарная установленная мощность электродвигателей резания - от 500 до 1000 к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ючительно, максимальная вынимаемая мощность пласта, не более 4 м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на извлечение 1 тонны угля при номинальной (расчетной) производительности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кВт ·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/т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0,7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суммарная установленная мощность электродвигателей резания более 1000 кВт, максимальная вынимаемая мощность пласта, не более 5 м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на извлечение 1 тонны угля при номинальной (расчетной) производительности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кВт ·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/т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0,6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Конвейеры ленточные для открытых горных работ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142924176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(Конвейеры ленточные для открытых горных работ)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ширина ленты - более 1600 мм, номинальная скорость ленты - от 3,15 до 4,5 м/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суммарная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 xml:space="preserve"> мощность приводных электродвигателей - от 3500 до 5500 кВт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удельный расход электрической энергии по перемещению 1 тонны груза на 1 м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кВт ·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/(т · м)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0,00038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Комбайны проходческие по углю и породе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142924211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(Комбайны проходческие по углю и породе)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суммарная мощность электродвигателей исполнительных органов, не менее 340 кВт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при номинальной (расчетной) производительности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кВт ·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/т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по углю &lt; 1,2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по породе (прочностью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B564B9" wp14:editId="73E5DC2E">
                  <wp:extent cx="645160" cy="230505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МПа) &lt; 8,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по смешанному забою (25 процентов угля и 75 процентов породы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6815E3" wp14:editId="321C5964">
                  <wp:extent cx="645160" cy="230505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МПа) &lt; 4,5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по углю &lt; 1,4,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по породе (прочностью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93E5B8" wp14:editId="09E06EC8">
                  <wp:extent cx="645160" cy="230505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МПа) &lt;9,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по смешанному забою (25 процентов угля и 75 процентов породы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6F50E3" wp14:editId="487EBA14">
                  <wp:extent cx="645160" cy="23050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МПа) &lt; 5,5,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по породе (прочностью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77B16D" wp14:editId="3CDE9936">
                  <wp:extent cx="721995" cy="230505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МПа до 15 процентов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 xml:space="preserve"> суммарной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присечке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пород до 75 процентов) &lt; 11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Экскаваторы одноковшовые на гусеничном ходу с электрическим (дизель-электрическим) приводом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142924331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(Экскаваторы одноковшовые на гусеничном ходу)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объем ковша, куб. м -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при номинальной (расчетной) производительности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кВт ·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/куб. м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0,41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10 - 15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0,82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свыше 15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1,22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1,22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20 - 40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1,95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свыше 40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1,95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Экскаваторы многоковшовые карьерные роторные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142924337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(Экскаваторы многоковшовые карьерные роторные)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тип привода электрический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при номинальной производительности</w:t>
            </w: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кВт · 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/куб. м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более 0,6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Установки скважинных центробежных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электронасосных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агрегатов для трубной эксплуатации и насосы к ним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142928481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(Установки скважинных центробежных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электронасосных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агрегатов для трубной эксплуатации и насосы к ним)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номинальная производительность насоса куб. м/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>. -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 насоса при номинальной производительности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до 30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36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30 до 80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52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80 до 125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59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125 до 500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64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500 до 700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66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700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68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Электродвигатели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143112010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(Электродвигатели переменного тока мощностью от 0,25 до 100 кВт)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мощность электродвигателя кВт -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до 15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91,8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143112020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(Электродвигатели переменного тока мощностью свыше 100 кВт)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15 до 22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92,2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22 до 37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93,7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37 до 45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93,9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45 до 55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94,3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143113000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(Электродвигатели специальные силовые)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55 до 75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94,7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75 до 160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95,1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160 до 250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95,5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250</w:t>
            </w: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не менее 96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Трансформаторы электрические силовые</w:t>
            </w:r>
          </w:p>
        </w:tc>
        <w:tc>
          <w:tcPr>
            <w:tcW w:w="2645" w:type="dxa"/>
            <w:vMerge w:val="restart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143115010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(Трансформаторы электрические силовые мощные)</w:t>
            </w: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номинальная мощность трансформатора -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потери холостого хода и потери короткого замыкания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2200" w:type="dxa"/>
            <w:vAlign w:val="bottom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100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F6B36F" wp14:editId="3D4E730E">
                  <wp:extent cx="130810" cy="153670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250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081581" wp14:editId="332DD24A">
                  <wp:extent cx="130810" cy="15367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1750 Вт;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160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EF3173" wp14:editId="0148EFF5">
                  <wp:extent cx="130810" cy="15367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375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D877C3" wp14:editId="23777E16">
                  <wp:extent cx="130810" cy="15367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2350 Вт;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250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6C3602" wp14:editId="4F60ACE3">
                  <wp:extent cx="130810" cy="153670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530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9FD4CE" wp14:editId="49B3D999">
                  <wp:extent cx="130810" cy="153670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3250 Вт;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400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37A18" wp14:editId="666FE8DC">
                  <wp:extent cx="130810" cy="15367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650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3CDD1E" wp14:editId="11FBA064">
                  <wp:extent cx="130810" cy="15367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4600 Вт;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630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E1E856" wp14:editId="609B18EF">
                  <wp:extent cx="130810" cy="15367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800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BF3799" wp14:editId="45C4C9FD">
                  <wp:extent cx="130810" cy="15367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6750 Вт;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1000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95C4A0" wp14:editId="41A50D95">
                  <wp:extent cx="130810" cy="15367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1100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D552A8" wp14:editId="31D0CAF4">
                  <wp:extent cx="130810" cy="15367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10500 Вт;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1600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594EF4" wp14:editId="3D36AB80">
                  <wp:extent cx="130810" cy="15367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1700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6DB6F7" wp14:editId="0B10E937">
                  <wp:extent cx="130810" cy="15367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17000 Вт;</w:t>
            </w: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S = 2500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хх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761AD2" wp14:editId="79EFAE05">
                  <wp:extent cx="130810" cy="15367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2450 Вт,</w:t>
            </w:r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D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894433" wp14:editId="380A033D">
                  <wp:extent cx="130810" cy="1536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15D7">
              <w:rPr>
                <w:rFonts w:ascii="Arial" w:hAnsi="Arial" w:cs="Arial"/>
                <w:sz w:val="20"/>
                <w:szCs w:val="20"/>
              </w:rPr>
              <w:t xml:space="preserve"> 25500 Вт</w:t>
            </w:r>
          </w:p>
        </w:tc>
      </w:tr>
      <w:tr w:rsidR="005E15D7" w:rsidRPr="005E15D7">
        <w:tc>
          <w:tcPr>
            <w:tcW w:w="514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22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 xml:space="preserve">Электростанции передвижные, 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электроагрегаты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питания (</w:t>
            </w: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дизель-генераторы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, дизельные агрегаты для выработки электрической энергии)</w:t>
            </w: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143149130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(Электростанции передвижные)</w:t>
            </w:r>
          </w:p>
        </w:tc>
        <w:tc>
          <w:tcPr>
            <w:tcW w:w="2281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работа на дизельном топливе или смеси дизельного топлива и газа, МВт</w:t>
            </w:r>
          </w:p>
        </w:tc>
        <w:tc>
          <w:tcPr>
            <w:tcW w:w="2466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расход топлива при номинальной нагрузке</w:t>
            </w:r>
          </w:p>
        </w:tc>
        <w:tc>
          <w:tcPr>
            <w:tcW w:w="156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5D7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5E15D7">
              <w:rPr>
                <w:rFonts w:ascii="Arial" w:hAnsi="Arial" w:cs="Arial"/>
                <w:sz w:val="20"/>
                <w:szCs w:val="20"/>
              </w:rPr>
              <w:t>/ч или кг/ч</w:t>
            </w:r>
          </w:p>
        </w:tc>
        <w:tc>
          <w:tcPr>
            <w:tcW w:w="2200" w:type="dxa"/>
            <w:vMerge w:val="restart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82F41" w:rsidRPr="005E15D7" w:rsidRDefault="005E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382F41" w:rsidRPr="005E15D7">
                <w:rPr>
                  <w:rFonts w:ascii="Arial" w:hAnsi="Arial" w:cs="Arial"/>
                  <w:sz w:val="20"/>
                  <w:szCs w:val="20"/>
                </w:rPr>
                <w:t>143149140</w:t>
              </w:r>
            </w:hyperlink>
          </w:p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15D7">
              <w:rPr>
                <w:rFonts w:ascii="Arial" w:hAnsi="Arial" w:cs="Arial"/>
                <w:sz w:val="20"/>
                <w:szCs w:val="20"/>
              </w:rPr>
              <w:t>Электроагрегаты</w:t>
            </w:r>
            <w:proofErr w:type="spellEnd"/>
            <w:r w:rsidRPr="005E15D7">
              <w:rPr>
                <w:rFonts w:ascii="Arial" w:hAnsi="Arial" w:cs="Arial"/>
                <w:sz w:val="20"/>
                <w:szCs w:val="20"/>
              </w:rPr>
              <w:t xml:space="preserve"> питания)</w:t>
            </w:r>
          </w:p>
        </w:tc>
        <w:tc>
          <w:tcPr>
            <w:tcW w:w="2281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до 1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менее 37</w:t>
            </w:r>
          </w:p>
        </w:tc>
      </w:tr>
      <w:tr w:rsidR="005E15D7" w:rsidRPr="005E15D7">
        <w:tc>
          <w:tcPr>
            <w:tcW w:w="514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от 1 до 3</w:t>
            </w:r>
          </w:p>
        </w:tc>
        <w:tc>
          <w:tcPr>
            <w:tcW w:w="2466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менее 39</w:t>
            </w:r>
          </w:p>
        </w:tc>
      </w:tr>
      <w:tr w:rsidR="005E15D7" w:rsidRPr="005E15D7">
        <w:tc>
          <w:tcPr>
            <w:tcW w:w="514" w:type="dxa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более 3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382F41" w:rsidRPr="005E15D7" w:rsidRDefault="0038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D7">
              <w:rPr>
                <w:rFonts w:ascii="Arial" w:hAnsi="Arial" w:cs="Arial"/>
                <w:sz w:val="20"/>
                <w:szCs w:val="20"/>
              </w:rPr>
              <w:t>менее 42</w:t>
            </w:r>
          </w:p>
        </w:tc>
      </w:tr>
    </w:tbl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82F41" w:rsidRPr="005E15D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15D7">
        <w:rPr>
          <w:rFonts w:ascii="Arial" w:hAnsi="Arial" w:cs="Arial"/>
          <w:sz w:val="20"/>
          <w:szCs w:val="20"/>
        </w:rPr>
        <w:t>--------------------------------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6"/>
      <w:bookmarkEnd w:id="2"/>
      <w:r w:rsidRPr="005E15D7">
        <w:rPr>
          <w:rFonts w:ascii="Arial" w:hAnsi="Arial" w:cs="Arial"/>
          <w:sz w:val="20"/>
          <w:szCs w:val="20"/>
        </w:rPr>
        <w:t>&lt;*&gt; Нормативно-техническими документами, подтверждающими отнесение объектов и технологий к объектам и технологиям высокой энергетической эффективности, являются технический паспорт, проектный показатель и (или) гарантийный показатель по договору.</w:t>
      </w: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F41" w:rsidRPr="005E15D7" w:rsidRDefault="00382F41" w:rsidP="0038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7EB" w:rsidRPr="005E15D7" w:rsidRDefault="006667EB"/>
    <w:sectPr w:rsidR="006667EB" w:rsidRPr="005E15D7" w:rsidSect="009F37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8"/>
    <w:rsid w:val="001F0FA8"/>
    <w:rsid w:val="00382F41"/>
    <w:rsid w:val="005E15D7"/>
    <w:rsid w:val="006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4AD312BFF47F507538362C4FA4A242844CA05554CB582439CA40F4TAz6N" TargetMode="External"/><Relationship Id="rId18" Type="http://schemas.openxmlformats.org/officeDocument/2006/relationships/hyperlink" Target="consultantplus://offline/ref=CD4AD312BFF47F507538362C4FA4A242844CA05554CB582439CA40F4A629654546A97F2D6157B9TEzFN" TargetMode="External"/><Relationship Id="rId26" Type="http://schemas.openxmlformats.org/officeDocument/2006/relationships/hyperlink" Target="consultantplus://offline/ref=CD4AD312BFF47F507538362C4FA4A242844CA05554CB582439CA40F4A629654546A97F2F635CBETEzAN" TargetMode="External"/><Relationship Id="rId39" Type="http://schemas.openxmlformats.org/officeDocument/2006/relationships/hyperlink" Target="consultantplus://offline/ref=CD4AD312BFF47F507538362C4FA4A242844CA05554CB582439CA40F4TAz6N" TargetMode="External"/><Relationship Id="rId21" Type="http://schemas.openxmlformats.org/officeDocument/2006/relationships/hyperlink" Target="consultantplus://offline/ref=CD4AD312BFF47F507538362C4FA4A242844CA05554CB582439CA40F4A629654546A97F2F6051BETEz7N" TargetMode="External"/><Relationship Id="rId34" Type="http://schemas.openxmlformats.org/officeDocument/2006/relationships/hyperlink" Target="consultantplus://offline/ref=CD4AD312BFF47F507538362C4FA4A242844CA05554CB582439CA40F4A629654546A97F2F6453BETEzDN" TargetMode="External"/><Relationship Id="rId42" Type="http://schemas.openxmlformats.org/officeDocument/2006/relationships/hyperlink" Target="consultantplus://offline/ref=CD4AD312BFF47F507538362C4FA4A242844CA05554CB582439CA40F4A629654546A97F2D615DB9TEz8N" TargetMode="External"/><Relationship Id="rId47" Type="http://schemas.openxmlformats.org/officeDocument/2006/relationships/hyperlink" Target="consultantplus://offline/ref=CD4AD312BFF47F507538362C4FA4A242844CA05554CB582439CA40F4A629654546A97F2F6353B9TEzBN" TargetMode="External"/><Relationship Id="rId50" Type="http://schemas.openxmlformats.org/officeDocument/2006/relationships/hyperlink" Target="consultantplus://offline/ref=CD4AD312BFF47F507538362C4FA4A242844CA05554CB582439CA40F4A629654546A97F2F6353B7TEz6N" TargetMode="External"/><Relationship Id="rId55" Type="http://schemas.openxmlformats.org/officeDocument/2006/relationships/hyperlink" Target="consultantplus://offline/ref=CD4AD312BFF47F507538362C4FA4A242844CA05554CB582439CA40F4A629654546A97F2F6051BCTEz6N" TargetMode="External"/><Relationship Id="rId63" Type="http://schemas.openxmlformats.org/officeDocument/2006/relationships/image" Target="media/image2.wmf"/><Relationship Id="rId68" Type="http://schemas.openxmlformats.org/officeDocument/2006/relationships/hyperlink" Target="consultantplus://offline/ref=CD4AD312BFF47F507538362C4FA4A242844CA05554CB582439CA40F4A629654546A97F2C6056BFTEzAN" TargetMode="External"/><Relationship Id="rId7" Type="http://schemas.openxmlformats.org/officeDocument/2006/relationships/hyperlink" Target="consultantplus://offline/ref=CD4AD312BFF47F507538362C4FA4A242844FAB5050C5052E31934CF6A1263A5241E0732B6557TBzDN" TargetMode="External"/><Relationship Id="rId71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4AD312BFF47F507538362C4FA4A242844CA05554CB582439CA40F4A629654546A97F2F6354BCTEz8N" TargetMode="External"/><Relationship Id="rId29" Type="http://schemas.openxmlformats.org/officeDocument/2006/relationships/hyperlink" Target="consultantplus://offline/ref=CD4AD312BFF47F507538362C4FA4A242844CA05554CB582439CA40F4A629654546A97F2F6756B7TEzBN" TargetMode="External"/><Relationship Id="rId11" Type="http://schemas.openxmlformats.org/officeDocument/2006/relationships/hyperlink" Target="consultantplus://offline/ref=CD4AD312BFF47F507538362C4FA4A242874DAB5750C2052E31934CF6A1T2z6N" TargetMode="External"/><Relationship Id="rId24" Type="http://schemas.openxmlformats.org/officeDocument/2006/relationships/hyperlink" Target="consultantplus://offline/ref=CD4AD312BFF47F507538362C4FA4A242844CA05554CB582439CA40F4A629654546A97F2F6353B8TEz6N" TargetMode="External"/><Relationship Id="rId32" Type="http://schemas.openxmlformats.org/officeDocument/2006/relationships/hyperlink" Target="consultantplus://offline/ref=CD4AD312BFF47F507538362C4FA4A242844CA05554CB582439CA40F4A629654546A97F2F6450B9TEz8N" TargetMode="External"/><Relationship Id="rId37" Type="http://schemas.openxmlformats.org/officeDocument/2006/relationships/hyperlink" Target="consultantplus://offline/ref=CD4AD312BFF47F507538362C4FA4A242844CA05554CB582439CA40F4A629654546A97F2F6B56B8TEz8N" TargetMode="External"/><Relationship Id="rId40" Type="http://schemas.openxmlformats.org/officeDocument/2006/relationships/hyperlink" Target="consultantplus://offline/ref=CD4AD312BFF47F507538362C4FA4A242844CA05554CB582439CA40F4A629654546A97F2D6157BATEzBN" TargetMode="External"/><Relationship Id="rId45" Type="http://schemas.openxmlformats.org/officeDocument/2006/relationships/hyperlink" Target="consultantplus://offline/ref=CD4AD312BFF47F507538362C4FA4A242844CA05554CB582439CA40F4A629654546A97F2F6353B8TEzBN" TargetMode="External"/><Relationship Id="rId53" Type="http://schemas.openxmlformats.org/officeDocument/2006/relationships/hyperlink" Target="consultantplus://offline/ref=CD4AD312BFF47F507538362C4FA4A242844CA05554CB582439CA40F4A629654546A97F2F6056BETEzCN" TargetMode="External"/><Relationship Id="rId58" Type="http://schemas.openxmlformats.org/officeDocument/2006/relationships/hyperlink" Target="consultantplus://offline/ref=CD4AD312BFF47F507538362C4FA4A242844CA05554CB582439CA40F4A629654546A97F2F615DBFTEzFN" TargetMode="External"/><Relationship Id="rId66" Type="http://schemas.openxmlformats.org/officeDocument/2006/relationships/hyperlink" Target="consultantplus://offline/ref=CD4AD312BFF47F507538362C4FA4A242844CA05554CB582439CA40F4A629654546A97F2F6754B8TEz9N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CD4AD312BFF47F507538362C4FA4A242844FAB5050C3052E31934CF6A1263A5241E0732C6250TBzBN" TargetMode="External"/><Relationship Id="rId15" Type="http://schemas.openxmlformats.org/officeDocument/2006/relationships/hyperlink" Target="consultantplus://offline/ref=CD4AD312BFF47F507538362C4FA4A242844CA05554CB582439CA40F4A629654546A97F2F6354BCTEzAN" TargetMode="External"/><Relationship Id="rId23" Type="http://schemas.openxmlformats.org/officeDocument/2006/relationships/hyperlink" Target="consultantplus://offline/ref=CD4AD312BFF47F507538362C4FA4A242844CA05554CB582439CA40F4A629654546A97F2F6353B8TEzCN" TargetMode="External"/><Relationship Id="rId28" Type="http://schemas.openxmlformats.org/officeDocument/2006/relationships/hyperlink" Target="consultantplus://offline/ref=CD4AD312BFF47F507538362C4FA4A242844CA05554CB582439CA40F4A629654546A97F2F6057B7TEz6N" TargetMode="External"/><Relationship Id="rId36" Type="http://schemas.openxmlformats.org/officeDocument/2006/relationships/hyperlink" Target="consultantplus://offline/ref=CD4AD312BFF47F507538362C4FA4A242844CA05554CB582439CA40F4A629654546A97F2F6453BBTEz6N" TargetMode="External"/><Relationship Id="rId49" Type="http://schemas.openxmlformats.org/officeDocument/2006/relationships/hyperlink" Target="consultantplus://offline/ref=CD4AD312BFF47F507538362C4FA4A242844CA05554CB582439CA40F4A629654546A97F2F6353B7TEzDN" TargetMode="External"/><Relationship Id="rId57" Type="http://schemas.openxmlformats.org/officeDocument/2006/relationships/hyperlink" Target="consultantplus://offline/ref=CD4AD312BFF47F507538362C4FA4A242844CA05554CB582439CA40F4A629654546A97F2F6152B7TEz7N" TargetMode="External"/><Relationship Id="rId61" Type="http://schemas.openxmlformats.org/officeDocument/2006/relationships/hyperlink" Target="consultantplus://offline/ref=CD4AD312BFF47F507538362C4FA4A242844CA05554CB582439CA40F4A629654546A97F2F615DB8TEz7N" TargetMode="External"/><Relationship Id="rId10" Type="http://schemas.openxmlformats.org/officeDocument/2006/relationships/hyperlink" Target="consultantplus://offline/ref=CD4AD312BFF47F507538362C4FA4A242844FAB5050C5052E31934CF6A1263A5241E0732B6557TBzDN" TargetMode="External"/><Relationship Id="rId19" Type="http://schemas.openxmlformats.org/officeDocument/2006/relationships/hyperlink" Target="consultantplus://offline/ref=CD4AD312BFF47F507538362C4FA4A242844CA05554CB582439CA40F4A629654546A97F2F6357B8TEzCN" TargetMode="External"/><Relationship Id="rId31" Type="http://schemas.openxmlformats.org/officeDocument/2006/relationships/hyperlink" Target="consultantplus://offline/ref=CD4AD312BFF47F507538362C4FA4A242844CA05554CB582439CA40F4A629654546A97F2C6050B6TEzDN" TargetMode="External"/><Relationship Id="rId44" Type="http://schemas.openxmlformats.org/officeDocument/2006/relationships/hyperlink" Target="consultantplus://offline/ref=CD4AD312BFF47F507538362C4FA4A242844CA05554CB582439CA40F4A629654546A97F2F6353B8TEzAN" TargetMode="External"/><Relationship Id="rId52" Type="http://schemas.openxmlformats.org/officeDocument/2006/relationships/hyperlink" Target="consultantplus://offline/ref=CD4AD312BFF47F507538362C4FA4A242844CA05554CB582439CA40F4A629654546A97F2F635DB8TEz8N" TargetMode="External"/><Relationship Id="rId60" Type="http://schemas.openxmlformats.org/officeDocument/2006/relationships/hyperlink" Target="consultantplus://offline/ref=CD4AD312BFF47F507538362C4FA4A242844CA05554CB582439CA40F4A629654546A97F2F615DBATEzBN" TargetMode="External"/><Relationship Id="rId65" Type="http://schemas.openxmlformats.org/officeDocument/2006/relationships/hyperlink" Target="consultantplus://offline/ref=CD4AD312BFF47F507538362C4FA4A242844CA05554CB582439CA40F4A629654546A97F2F6654BCTEz6N" TargetMode="External"/><Relationship Id="rId73" Type="http://schemas.openxmlformats.org/officeDocument/2006/relationships/hyperlink" Target="consultantplus://offline/ref=CD4AD312BFF47F507538362C4FA4A242844CA05554CB582439CA40F4A629654546A97F2F6453BBTEz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AD312BFF47F507538362C4FA4A242844FAB5050C5052E31934CF6A1263A5241E073296756TBz7N" TargetMode="External"/><Relationship Id="rId14" Type="http://schemas.openxmlformats.org/officeDocument/2006/relationships/hyperlink" Target="consultantplus://offline/ref=CD4AD312BFF47F507538362C4FA4A242844CA05554CB582439CA40F4A629654546A97F2F625DBATEz9N" TargetMode="External"/><Relationship Id="rId22" Type="http://schemas.openxmlformats.org/officeDocument/2006/relationships/hyperlink" Target="consultantplus://offline/ref=CD4AD312BFF47F507538362C4FA4A242844CA05554CB582439CA40F4A629654546A97F2F6353BETEzBN" TargetMode="External"/><Relationship Id="rId27" Type="http://schemas.openxmlformats.org/officeDocument/2006/relationships/hyperlink" Target="consultantplus://offline/ref=CD4AD312BFF47F507538362C4FA4A242844CA05554CB582439CA40F4A629654546A97F2F635CBETEzBN" TargetMode="External"/><Relationship Id="rId30" Type="http://schemas.openxmlformats.org/officeDocument/2006/relationships/hyperlink" Target="consultantplus://offline/ref=CD4AD312BFF47F507538362C4FA4A242844CA05554CB582439CA40F4A629654546A97F2F6452BDTEzAN" TargetMode="External"/><Relationship Id="rId35" Type="http://schemas.openxmlformats.org/officeDocument/2006/relationships/hyperlink" Target="consultantplus://offline/ref=CD4AD312BFF47F507538362C4FA4A242844CA05554CB582439CA40F4A629654546A97F2F6453BBTEzAN" TargetMode="External"/><Relationship Id="rId43" Type="http://schemas.openxmlformats.org/officeDocument/2006/relationships/hyperlink" Target="consultantplus://offline/ref=CD4AD312BFF47F507538362C4FA4A242844CA05554CB582439CA40F4A629654546A97F2F6353B8TEzDN" TargetMode="External"/><Relationship Id="rId48" Type="http://schemas.openxmlformats.org/officeDocument/2006/relationships/hyperlink" Target="consultantplus://offline/ref=CD4AD312BFF47F507538362C4FA4A242844CA05554CB582439CA40F4A629654546A97F2F6353B6TEz7N" TargetMode="External"/><Relationship Id="rId56" Type="http://schemas.openxmlformats.org/officeDocument/2006/relationships/hyperlink" Target="consultantplus://offline/ref=CD4AD312BFF47F507538362C4FA4A242844CA05554CB582439CA40F4A629654546A97F2F6051BCTEz7N" TargetMode="External"/><Relationship Id="rId64" Type="http://schemas.openxmlformats.org/officeDocument/2006/relationships/hyperlink" Target="consultantplus://offline/ref=CD4AD312BFF47F507538362C4FA4A242844CA05554CB582439CA40F4A629654546A97F2F6654BCTEzCN" TargetMode="External"/><Relationship Id="rId69" Type="http://schemas.openxmlformats.org/officeDocument/2006/relationships/hyperlink" Target="consultantplus://offline/ref=CD4AD312BFF47F507538362C4FA4A242844CA05554CB582439CA40F4A629654546A97F2C6056B8TEzFN" TargetMode="External"/><Relationship Id="rId8" Type="http://schemas.openxmlformats.org/officeDocument/2006/relationships/hyperlink" Target="consultantplus://offline/ref=CD4AD312BFF47F507538362C4FA4A242844FAB5050C3052E31934CF6A1263A5241E0732C6250TBzBN" TargetMode="External"/><Relationship Id="rId51" Type="http://schemas.openxmlformats.org/officeDocument/2006/relationships/hyperlink" Target="consultantplus://offline/ref=CD4AD312BFF47F507538362C4FA4A242844CA05554CB582439CA40F4A629654546A97F2F6353B7TEz7N" TargetMode="External"/><Relationship Id="rId72" Type="http://schemas.openxmlformats.org/officeDocument/2006/relationships/hyperlink" Target="consultantplus://offline/ref=CD4AD312BFF47F507538362C4FA4A242844CA05554CB582439CA40F4A629654546A97F2F6453BATEz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4AD312BFF47F507538362C4FA4A242874AA35152C6052E31934CF6A1T2z6N" TargetMode="External"/><Relationship Id="rId17" Type="http://schemas.openxmlformats.org/officeDocument/2006/relationships/hyperlink" Target="consultantplus://offline/ref=CD4AD312BFF47F507538362C4FA4A242844CA05554CB582439CA40F4A629654546A97F2F6354BCTEzBN" TargetMode="External"/><Relationship Id="rId25" Type="http://schemas.openxmlformats.org/officeDocument/2006/relationships/hyperlink" Target="consultantplus://offline/ref=CD4AD312BFF47F507538362C4FA4A242844CA05554CB582439CA40F4A629654546A97F2D6655BATEzCN" TargetMode="External"/><Relationship Id="rId33" Type="http://schemas.openxmlformats.org/officeDocument/2006/relationships/hyperlink" Target="consultantplus://offline/ref=CD4AD312BFF47F507538362C4FA4A242844CA05554CB582439CA40F4A629654546A97F2F6450B9TEz9N" TargetMode="External"/><Relationship Id="rId38" Type="http://schemas.openxmlformats.org/officeDocument/2006/relationships/hyperlink" Target="consultantplus://offline/ref=CD4AD312BFF47F507538362C4FA4A242844CA05554CB582439CA40F4A629654546A97F2F6B57B8TEzEN" TargetMode="External"/><Relationship Id="rId46" Type="http://schemas.openxmlformats.org/officeDocument/2006/relationships/hyperlink" Target="consultantplus://offline/ref=CD4AD312BFF47F507538362C4FA4A242844CA05554CB582439CA40F4A629654546A97F2F6353B8TEz7N" TargetMode="External"/><Relationship Id="rId59" Type="http://schemas.openxmlformats.org/officeDocument/2006/relationships/hyperlink" Target="consultantplus://offline/ref=CD4AD312BFF47F507538362C4FA4A242844CA05554CB582439CA40F4A629654546A97F2F615DBDTEzDN" TargetMode="External"/><Relationship Id="rId67" Type="http://schemas.openxmlformats.org/officeDocument/2006/relationships/hyperlink" Target="consultantplus://offline/ref=CD4AD312BFF47F507538362C4FA4A242844CA05554CB582439CA40F4A629654546A97F2C6055B9TEzDN" TargetMode="External"/><Relationship Id="rId20" Type="http://schemas.openxmlformats.org/officeDocument/2006/relationships/hyperlink" Target="consultantplus://offline/ref=CD4AD312BFF47F507538362C4FA4A242844CA05554CB582439CA40F4A629654546A97F2F6352B7TEz8N" TargetMode="External"/><Relationship Id="rId41" Type="http://schemas.openxmlformats.org/officeDocument/2006/relationships/hyperlink" Target="consultantplus://offline/ref=CD4AD312BFF47F507538362C4FA4A242844CA05554CB582439CA40F4A629654546A97F2F6357B8TEzBN" TargetMode="External"/><Relationship Id="rId54" Type="http://schemas.openxmlformats.org/officeDocument/2006/relationships/hyperlink" Target="consultantplus://offline/ref=CD4AD312BFF47F507538362C4FA4A242844CA05554CB582439CA40F4A629654546A97F2F6051BFTEz9N" TargetMode="External"/><Relationship Id="rId62" Type="http://schemas.openxmlformats.org/officeDocument/2006/relationships/image" Target="media/image1.wmf"/><Relationship Id="rId70" Type="http://schemas.openxmlformats.org/officeDocument/2006/relationships/hyperlink" Target="consultantplus://offline/ref=CD4AD312BFF47F507538362C4FA4A242844CA05554CB582439CA40F4A629654546A97F2C6051BETEz8N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AD312BFF47F507538362C4FA4A242844FAB5050C5052E31934CF6A1263A5241E073296756TB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4367</Words>
  <Characters>24892</Characters>
  <Application>Microsoft Office Word</Application>
  <DocSecurity>0</DocSecurity>
  <Lines>207</Lines>
  <Paragraphs>58</Paragraphs>
  <ScaleCrop>false</ScaleCrop>
  <Company/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4</cp:revision>
  <dcterms:created xsi:type="dcterms:W3CDTF">2016-12-22T13:51:00Z</dcterms:created>
  <dcterms:modified xsi:type="dcterms:W3CDTF">2017-02-14T08:50:00Z</dcterms:modified>
</cp:coreProperties>
</file>