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31" w:rsidRPr="00071553" w:rsidRDefault="002B0F31">
      <w:pPr>
        <w:pStyle w:val="ConsPlusTitle"/>
        <w:jc w:val="center"/>
        <w:outlineLvl w:val="0"/>
      </w:pPr>
      <w:bookmarkStart w:id="0" w:name="_GoBack"/>
      <w:r w:rsidRPr="00071553">
        <w:t>ПРАВИТЕЛЬСТВО РОССИЙСКОЙ ФЕДЕРАЦИИ</w:t>
      </w:r>
    </w:p>
    <w:p w:rsidR="002B0F31" w:rsidRPr="00071553" w:rsidRDefault="002B0F31">
      <w:pPr>
        <w:pStyle w:val="ConsPlusTitle"/>
        <w:jc w:val="center"/>
      </w:pPr>
    </w:p>
    <w:p w:rsidR="002B0F31" w:rsidRPr="00071553" w:rsidRDefault="002B0F31">
      <w:pPr>
        <w:pStyle w:val="ConsPlusTitle"/>
        <w:jc w:val="center"/>
      </w:pPr>
      <w:r w:rsidRPr="00071553">
        <w:t>ПОСТАНОВЛЕНИЕ</w:t>
      </w:r>
    </w:p>
    <w:p w:rsidR="002B0F31" w:rsidRPr="00071553" w:rsidRDefault="002B0F31">
      <w:pPr>
        <w:pStyle w:val="ConsPlusTitle"/>
        <w:jc w:val="center"/>
      </w:pPr>
      <w:r w:rsidRPr="00071553">
        <w:t>от 27 января 2014 г. N 60</w:t>
      </w:r>
    </w:p>
    <w:p w:rsidR="002B0F31" w:rsidRPr="00071553" w:rsidRDefault="002B0F31">
      <w:pPr>
        <w:pStyle w:val="ConsPlusTitle"/>
        <w:jc w:val="center"/>
      </w:pPr>
    </w:p>
    <w:p w:rsidR="002B0F31" w:rsidRPr="00071553" w:rsidRDefault="002B0F31">
      <w:pPr>
        <w:pStyle w:val="ConsPlusTitle"/>
        <w:jc w:val="center"/>
      </w:pPr>
      <w:r w:rsidRPr="00071553">
        <w:t>ОБ УТВЕРЖДЕНИИ ПРАВИЛ</w:t>
      </w:r>
    </w:p>
    <w:p w:rsidR="002B0F31" w:rsidRPr="00071553" w:rsidRDefault="002B0F31">
      <w:pPr>
        <w:pStyle w:val="ConsPlusTitle"/>
        <w:jc w:val="center"/>
      </w:pPr>
      <w:r w:rsidRPr="00071553">
        <w:t>ВЕДЕНИЯ В БУКМЕКЕРСКИХ КОНТОРАХ И ТОТАЛИЗАТОРАХ УЧЕТА</w:t>
      </w:r>
    </w:p>
    <w:p w:rsidR="002B0F31" w:rsidRPr="00071553" w:rsidRDefault="002B0F31">
      <w:pPr>
        <w:pStyle w:val="ConsPlusTitle"/>
        <w:jc w:val="center"/>
      </w:pPr>
      <w:r w:rsidRPr="00071553">
        <w:t>УЧАСТНИКОВ АЗАРТНЫХ ИГР, ОТ КОТОРЫХ ПРИНИМАЮТСЯ СТАВКИ</w:t>
      </w:r>
    </w:p>
    <w:p w:rsidR="002B0F31" w:rsidRPr="00071553" w:rsidRDefault="002B0F31">
      <w:pPr>
        <w:pStyle w:val="ConsPlusTitle"/>
        <w:jc w:val="center"/>
      </w:pPr>
      <w:r w:rsidRPr="00071553">
        <w:t>НА ОФИЦИАЛЬНЫЕ СПОРТИВНЫЕ СОРЕВНОВАНИЯ, И ПРАВИЛ</w:t>
      </w:r>
    </w:p>
    <w:p w:rsidR="002B0F31" w:rsidRPr="00071553" w:rsidRDefault="002B0F31">
      <w:pPr>
        <w:pStyle w:val="ConsPlusTitle"/>
        <w:jc w:val="center"/>
      </w:pPr>
      <w:r w:rsidRPr="00071553">
        <w:t>ПРЕДСТАВЛЕНИЯ В ФЕДЕРАЛЬНУЮ НАЛОГОВУЮ СЛУЖБУ ДАННЫХ</w:t>
      </w:r>
    </w:p>
    <w:p w:rsidR="002B0F31" w:rsidRPr="00071553" w:rsidRDefault="002B0F31">
      <w:pPr>
        <w:pStyle w:val="ConsPlusTitle"/>
        <w:jc w:val="center"/>
      </w:pPr>
      <w:r w:rsidRPr="00071553">
        <w:t>УЧЕТА В БУКМЕКЕРСКИХ КОНТОРАХ И ТОТАЛИЗАТОРАХ</w:t>
      </w:r>
    </w:p>
    <w:p w:rsidR="002B0F31" w:rsidRPr="00071553" w:rsidRDefault="002B0F31">
      <w:pPr>
        <w:pStyle w:val="ConsPlusTitle"/>
        <w:jc w:val="center"/>
      </w:pPr>
      <w:r w:rsidRPr="00071553">
        <w:t>УЧАСТНИКОВ АЗАРТНЫХ ИГР, ОТ КОТОРЫХ ПРИНИМАЮТСЯ</w:t>
      </w:r>
    </w:p>
    <w:p w:rsidR="002B0F31" w:rsidRPr="00071553" w:rsidRDefault="002B0F31">
      <w:pPr>
        <w:pStyle w:val="ConsPlusTitle"/>
        <w:jc w:val="center"/>
      </w:pPr>
      <w:r w:rsidRPr="00071553">
        <w:t>СТАВКИ НА ОФИЦИАЛЬНЫЕ СПОРТИВНЫЕ СОРЕВНОВАНИЯ</w:t>
      </w:r>
    </w:p>
    <w:p w:rsidR="002B0F31" w:rsidRPr="00071553" w:rsidRDefault="002B0F31">
      <w:pPr>
        <w:pStyle w:val="ConsPlusNormal"/>
        <w:jc w:val="center"/>
      </w:pPr>
    </w:p>
    <w:p w:rsidR="002B0F31" w:rsidRPr="00071553" w:rsidRDefault="002B0F31">
      <w:pPr>
        <w:pStyle w:val="ConsPlusNormal"/>
        <w:ind w:firstLine="540"/>
        <w:jc w:val="both"/>
      </w:pPr>
      <w:r w:rsidRPr="00071553">
        <w:t xml:space="preserve">В соответствии с </w:t>
      </w:r>
      <w:hyperlink r:id="rId5" w:history="1">
        <w:r w:rsidRPr="00071553">
          <w:t>пунктом 3 части 1 статьи 6.1</w:t>
        </w:r>
      </w:hyperlink>
      <w:r w:rsidRPr="00071553">
        <w:t xml:space="preserve"> Федерального закона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Правительство Российской Федерации постановляет:</w:t>
      </w:r>
    </w:p>
    <w:p w:rsidR="002B0F31" w:rsidRPr="00071553" w:rsidRDefault="002B0F31">
      <w:pPr>
        <w:pStyle w:val="ConsPlusNormal"/>
        <w:ind w:firstLine="540"/>
        <w:jc w:val="both"/>
      </w:pPr>
      <w:r w:rsidRPr="00071553">
        <w:t>Утвердить прилагаемые:</w:t>
      </w:r>
    </w:p>
    <w:p w:rsidR="002B0F31" w:rsidRPr="00071553" w:rsidRDefault="00071553">
      <w:pPr>
        <w:pStyle w:val="ConsPlusNormal"/>
        <w:ind w:firstLine="540"/>
        <w:jc w:val="both"/>
      </w:pPr>
      <w:hyperlink w:anchor="P33" w:history="1">
        <w:r w:rsidR="002B0F31" w:rsidRPr="00071553">
          <w:t>Правила</w:t>
        </w:r>
      </w:hyperlink>
      <w:r w:rsidR="002B0F31" w:rsidRPr="00071553">
        <w:t xml:space="preserve"> ведения в букмекерских конторах и тотализаторах учета участников азартных игр, от которых принимаются ставки на официальные спортивные соревнования;</w:t>
      </w:r>
    </w:p>
    <w:p w:rsidR="002B0F31" w:rsidRPr="00071553" w:rsidRDefault="00071553">
      <w:pPr>
        <w:pStyle w:val="ConsPlusNormal"/>
        <w:ind w:firstLine="540"/>
        <w:jc w:val="both"/>
      </w:pPr>
      <w:hyperlink w:anchor="P117" w:history="1">
        <w:r w:rsidR="002B0F31" w:rsidRPr="00071553">
          <w:t>Правила</w:t>
        </w:r>
      </w:hyperlink>
      <w:r w:rsidR="002B0F31" w:rsidRPr="00071553">
        <w:t xml:space="preserve"> представления в Федеральную налоговую службу данных учета в букмекерских конторах и тотализаторах участников азартных игр, от которых принимаются ставки на официальные спортивные соревнования.</w:t>
      </w:r>
    </w:p>
    <w:p w:rsidR="002B0F31" w:rsidRPr="00071553" w:rsidRDefault="002B0F31">
      <w:pPr>
        <w:pStyle w:val="ConsPlusNormal"/>
        <w:ind w:firstLine="540"/>
        <w:jc w:val="both"/>
      </w:pPr>
    </w:p>
    <w:p w:rsidR="002B0F31" w:rsidRPr="00071553" w:rsidRDefault="002B0F31">
      <w:pPr>
        <w:pStyle w:val="ConsPlusNormal"/>
        <w:jc w:val="right"/>
      </w:pPr>
      <w:r w:rsidRPr="00071553">
        <w:t>Председатель Правительства</w:t>
      </w:r>
    </w:p>
    <w:p w:rsidR="002B0F31" w:rsidRPr="00071553" w:rsidRDefault="002B0F31">
      <w:pPr>
        <w:pStyle w:val="ConsPlusNormal"/>
        <w:jc w:val="right"/>
      </w:pPr>
      <w:r w:rsidRPr="00071553">
        <w:t>Российской Федерации</w:t>
      </w:r>
    </w:p>
    <w:p w:rsidR="002B0F31" w:rsidRPr="00071553" w:rsidRDefault="002B0F31">
      <w:pPr>
        <w:pStyle w:val="ConsPlusNormal"/>
        <w:jc w:val="right"/>
      </w:pPr>
      <w:r w:rsidRPr="00071553">
        <w:t>Д.МЕДВЕДЕВ</w:t>
      </w:r>
    </w:p>
    <w:p w:rsidR="002B0F31" w:rsidRPr="00071553" w:rsidRDefault="002B0F31">
      <w:pPr>
        <w:pStyle w:val="ConsPlusNormal"/>
        <w:jc w:val="right"/>
      </w:pPr>
    </w:p>
    <w:p w:rsidR="002B0F31" w:rsidRPr="00071553" w:rsidRDefault="002B0F31">
      <w:pPr>
        <w:pStyle w:val="ConsPlusNormal"/>
        <w:jc w:val="right"/>
      </w:pPr>
    </w:p>
    <w:p w:rsidR="002B0F31" w:rsidRPr="00071553" w:rsidRDefault="002B0F31">
      <w:pPr>
        <w:pStyle w:val="ConsPlusNormal"/>
        <w:jc w:val="right"/>
      </w:pPr>
    </w:p>
    <w:p w:rsidR="002B0F31" w:rsidRPr="00071553" w:rsidRDefault="002B0F31">
      <w:pPr>
        <w:pStyle w:val="ConsPlusNormal"/>
        <w:jc w:val="right"/>
      </w:pPr>
    </w:p>
    <w:p w:rsidR="002B0F31" w:rsidRPr="00071553" w:rsidRDefault="002B0F31">
      <w:pPr>
        <w:pStyle w:val="ConsPlusNormal"/>
        <w:jc w:val="right"/>
      </w:pPr>
    </w:p>
    <w:p w:rsidR="002B0F31" w:rsidRPr="00071553" w:rsidRDefault="002B0F31">
      <w:pPr>
        <w:pStyle w:val="ConsPlusNormal"/>
        <w:jc w:val="right"/>
        <w:outlineLvl w:val="0"/>
      </w:pPr>
      <w:r w:rsidRPr="00071553">
        <w:t>Утверждены</w:t>
      </w:r>
    </w:p>
    <w:p w:rsidR="002B0F31" w:rsidRPr="00071553" w:rsidRDefault="002B0F31">
      <w:pPr>
        <w:pStyle w:val="ConsPlusNormal"/>
        <w:jc w:val="right"/>
      </w:pPr>
      <w:r w:rsidRPr="00071553">
        <w:t>постановлением Правительства</w:t>
      </w:r>
    </w:p>
    <w:p w:rsidR="002B0F31" w:rsidRPr="00071553" w:rsidRDefault="002B0F31">
      <w:pPr>
        <w:pStyle w:val="ConsPlusNormal"/>
        <w:jc w:val="right"/>
      </w:pPr>
      <w:r w:rsidRPr="00071553">
        <w:t>Российской Федерации</w:t>
      </w:r>
    </w:p>
    <w:p w:rsidR="002B0F31" w:rsidRPr="00071553" w:rsidRDefault="002B0F31">
      <w:pPr>
        <w:pStyle w:val="ConsPlusNormal"/>
        <w:jc w:val="right"/>
      </w:pPr>
      <w:r w:rsidRPr="00071553">
        <w:t>от 27 января 2014 г. N 60</w:t>
      </w:r>
    </w:p>
    <w:p w:rsidR="002B0F31" w:rsidRPr="00071553" w:rsidRDefault="002B0F31">
      <w:pPr>
        <w:pStyle w:val="ConsPlusNormal"/>
        <w:jc w:val="center"/>
      </w:pPr>
    </w:p>
    <w:p w:rsidR="002B0F31" w:rsidRPr="00071553" w:rsidRDefault="002B0F31">
      <w:pPr>
        <w:pStyle w:val="ConsPlusTitle"/>
        <w:jc w:val="center"/>
      </w:pPr>
      <w:bookmarkStart w:id="1" w:name="P33"/>
      <w:bookmarkEnd w:id="1"/>
      <w:r w:rsidRPr="00071553">
        <w:t>ПРАВИЛА</w:t>
      </w:r>
    </w:p>
    <w:p w:rsidR="002B0F31" w:rsidRPr="00071553" w:rsidRDefault="002B0F31">
      <w:pPr>
        <w:pStyle w:val="ConsPlusTitle"/>
        <w:jc w:val="center"/>
      </w:pPr>
      <w:r w:rsidRPr="00071553">
        <w:t>ВЕДЕНИЯ В БУКМЕКЕРСКИХ КОНТОРАХ И ТОТАЛИЗАТОРАХ УЧЕТА</w:t>
      </w:r>
    </w:p>
    <w:p w:rsidR="002B0F31" w:rsidRPr="00071553" w:rsidRDefault="002B0F31">
      <w:pPr>
        <w:pStyle w:val="ConsPlusTitle"/>
        <w:jc w:val="center"/>
      </w:pPr>
      <w:r w:rsidRPr="00071553">
        <w:t>УЧАСТНИКОВ АЗАРТНЫХ ИГР, ОТ КОТОРЫХ ПРИНИМАЮТСЯ СТАВКИ</w:t>
      </w:r>
    </w:p>
    <w:p w:rsidR="002B0F31" w:rsidRPr="00071553" w:rsidRDefault="002B0F31">
      <w:pPr>
        <w:pStyle w:val="ConsPlusTitle"/>
        <w:jc w:val="center"/>
      </w:pPr>
      <w:r w:rsidRPr="00071553">
        <w:t>НА ОФИЦИАЛЬНЫЕ СПОРТИВНЫЕ СОРЕВНОВАНИЯ</w:t>
      </w:r>
    </w:p>
    <w:p w:rsidR="002B0F31" w:rsidRPr="00071553" w:rsidRDefault="002B0F31">
      <w:pPr>
        <w:pStyle w:val="ConsPlusNormal"/>
        <w:jc w:val="center"/>
      </w:pPr>
    </w:p>
    <w:p w:rsidR="002B0F31" w:rsidRPr="00071553" w:rsidRDefault="002B0F31">
      <w:pPr>
        <w:pStyle w:val="ConsPlusNormal"/>
        <w:ind w:firstLine="540"/>
        <w:jc w:val="both"/>
      </w:pPr>
      <w:r w:rsidRPr="00071553">
        <w:t>1. Организатор азартных игр в букмекерских конторах и тотализаторах ведет учет участников азартных игр, от которых принимаются ставки на официальные спортивные соревнования (далее - участники азартных игр).</w:t>
      </w:r>
    </w:p>
    <w:p w:rsidR="002B0F31" w:rsidRPr="00071553" w:rsidRDefault="002B0F31">
      <w:pPr>
        <w:pStyle w:val="ConsPlusNormal"/>
        <w:ind w:firstLine="540"/>
        <w:jc w:val="both"/>
      </w:pPr>
      <w:r w:rsidRPr="00071553">
        <w:t xml:space="preserve">2. Учет участников азартных игр осуществляется в букмекерских конторах и тотализаторах работниками, уполномоченными организатором азартных игр, путем ведения базы данных с учетными записями об участниках азартных игр (далее - база данных) по форме согласно </w:t>
      </w:r>
      <w:hyperlink w:anchor="P62" w:history="1">
        <w:r w:rsidRPr="00071553">
          <w:t>приложению</w:t>
        </w:r>
      </w:hyperlink>
      <w:r w:rsidRPr="00071553">
        <w:t>.</w:t>
      </w:r>
    </w:p>
    <w:p w:rsidR="002B0F31" w:rsidRPr="00071553" w:rsidRDefault="002B0F31">
      <w:pPr>
        <w:pStyle w:val="ConsPlusNormal"/>
        <w:ind w:firstLine="540"/>
        <w:jc w:val="both"/>
      </w:pPr>
      <w:r w:rsidRPr="00071553">
        <w:t>3. Внесение в базу данных информации об участнике азартной игры осуществляется при приеме от него ставки (ставок) на официальные спортивные соревнования.</w:t>
      </w:r>
    </w:p>
    <w:p w:rsidR="002B0F31" w:rsidRPr="00071553" w:rsidRDefault="002B0F31">
      <w:pPr>
        <w:pStyle w:val="ConsPlusNormal"/>
        <w:ind w:firstLine="540"/>
        <w:jc w:val="both"/>
      </w:pPr>
      <w:r w:rsidRPr="00071553">
        <w:t xml:space="preserve">4. </w:t>
      </w:r>
      <w:proofErr w:type="gramStart"/>
      <w:r w:rsidRPr="00071553">
        <w:t xml:space="preserve">Хранение базы данных осуществляется в процессинговом центре букмекерской конторы (тотализатора) с учетом требований к форматам данных и формам документов, установленных </w:t>
      </w:r>
      <w:hyperlink w:anchor="P128" w:history="1">
        <w:r w:rsidRPr="00071553">
          <w:t>подпунктом "б" пункта 4</w:t>
        </w:r>
      </w:hyperlink>
      <w:r w:rsidRPr="00071553">
        <w:t xml:space="preserve"> Правил представления в Федеральную налоговую службу данных учета в букмекерских конторах и тотализаторах участников азартных игр, от которых принимаются ставки на официальные спортивные соревнования, утвержденных постановлением Правительства Российской Федерации от 27 января 2014 г. N 60</w:t>
      </w:r>
      <w:proofErr w:type="gramEnd"/>
      <w:r w:rsidRPr="00071553">
        <w:t xml:space="preserve"> "Об утверждении Правил ведения в букмекерских конторах и тотализаторах учета участников азартных игр, от которых принимаются ставки на официальные спортивные соревнования, и Правил представления в Федеральную налоговую службу данных учета в букмекерских конторах и тотализаторах участников азартных игр, от которых принимаются ставки на официальные спортивные соревнования".</w:t>
      </w:r>
    </w:p>
    <w:p w:rsidR="002B0F31" w:rsidRPr="00071553" w:rsidRDefault="002B0F31">
      <w:pPr>
        <w:pStyle w:val="ConsPlusNormal"/>
        <w:ind w:firstLine="540"/>
        <w:jc w:val="both"/>
      </w:pPr>
      <w:proofErr w:type="gramStart"/>
      <w:r w:rsidRPr="00071553">
        <w:t xml:space="preserve">Порядок хранения базы данных определяется организатором азартных игр в букмекерских </w:t>
      </w:r>
      <w:r w:rsidRPr="00071553">
        <w:lastRenderedPageBreak/>
        <w:t>конторах и тотализаторах и должен обеспечивать поддержание базы данных в актуальном состоянии, возможность восстановления информации из базы данных, в том числе информации, утраченной вследствие непреодолимой силы, а также исключать возникновение условий для порчи данных, их утраты, несанкционированного изменения или доступа неуполномоченных лиц к базе данных.</w:t>
      </w:r>
      <w:proofErr w:type="gramEnd"/>
    </w:p>
    <w:p w:rsidR="002B0F31" w:rsidRPr="00071553" w:rsidRDefault="002B0F31">
      <w:pPr>
        <w:pStyle w:val="ConsPlusNormal"/>
        <w:ind w:firstLine="540"/>
        <w:jc w:val="both"/>
      </w:pPr>
      <w:r w:rsidRPr="00071553">
        <w:t>5. Учетные записи об участниках азартных игр, внесенные в базу данных, подлежат хранению не менее 5 лет со дня их внесения в базу данных.</w:t>
      </w:r>
    </w:p>
    <w:p w:rsidR="002B0F31" w:rsidRPr="00071553" w:rsidRDefault="002B0F31">
      <w:pPr>
        <w:pStyle w:val="ConsPlusNormal"/>
        <w:ind w:firstLine="540"/>
        <w:jc w:val="both"/>
      </w:pPr>
      <w:r w:rsidRPr="00071553">
        <w:t>6. Внесение в базу данных недостоверной информации не допускается.</w:t>
      </w:r>
    </w:p>
    <w:p w:rsidR="002B0F31" w:rsidRPr="00071553" w:rsidRDefault="002B0F31">
      <w:pPr>
        <w:pStyle w:val="ConsPlusNormal"/>
        <w:ind w:firstLine="540"/>
        <w:jc w:val="both"/>
      </w:pPr>
      <w:r w:rsidRPr="00071553">
        <w:t>7. Обработка персональных данных участников азартных игр, содержащихся в базе данных, должна осуществляться с соблюдением требований законодательства Российской Федерации в области персональных данных.</w:t>
      </w:r>
    </w:p>
    <w:p w:rsidR="002B0F31" w:rsidRPr="00071553" w:rsidRDefault="002B0F31">
      <w:pPr>
        <w:pStyle w:val="ConsPlusNormal"/>
        <w:jc w:val="center"/>
      </w:pPr>
    </w:p>
    <w:p w:rsidR="002B0F31" w:rsidRPr="00071553" w:rsidRDefault="002B0F31">
      <w:pPr>
        <w:pStyle w:val="ConsPlusNormal"/>
        <w:jc w:val="center"/>
      </w:pPr>
    </w:p>
    <w:p w:rsidR="002B0F31" w:rsidRPr="00071553" w:rsidRDefault="002B0F31">
      <w:pPr>
        <w:pStyle w:val="ConsPlusNormal"/>
        <w:jc w:val="center"/>
      </w:pPr>
    </w:p>
    <w:p w:rsidR="002B0F31" w:rsidRPr="00071553" w:rsidRDefault="002B0F31">
      <w:pPr>
        <w:pStyle w:val="ConsPlusNormal"/>
        <w:jc w:val="center"/>
      </w:pPr>
    </w:p>
    <w:p w:rsidR="002B0F31" w:rsidRPr="00071553" w:rsidRDefault="002B0F31">
      <w:pPr>
        <w:pStyle w:val="ConsPlusNormal"/>
        <w:jc w:val="center"/>
      </w:pPr>
    </w:p>
    <w:p w:rsidR="002B0F31" w:rsidRPr="00071553" w:rsidRDefault="002B0F31">
      <w:pPr>
        <w:sectPr w:rsidR="002B0F31" w:rsidRPr="00071553" w:rsidSect="002155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0F31" w:rsidRPr="00071553" w:rsidRDefault="002B0F31">
      <w:pPr>
        <w:pStyle w:val="ConsPlusNormal"/>
        <w:jc w:val="right"/>
        <w:outlineLvl w:val="1"/>
      </w:pPr>
      <w:r w:rsidRPr="00071553">
        <w:lastRenderedPageBreak/>
        <w:t>Приложение</w:t>
      </w:r>
    </w:p>
    <w:p w:rsidR="002B0F31" w:rsidRPr="00071553" w:rsidRDefault="002B0F31">
      <w:pPr>
        <w:pStyle w:val="ConsPlusNormal"/>
        <w:jc w:val="right"/>
      </w:pPr>
      <w:r w:rsidRPr="00071553">
        <w:t>к Правилам ведения</w:t>
      </w:r>
    </w:p>
    <w:p w:rsidR="002B0F31" w:rsidRPr="00071553" w:rsidRDefault="002B0F31">
      <w:pPr>
        <w:pStyle w:val="ConsPlusNormal"/>
        <w:jc w:val="right"/>
      </w:pPr>
      <w:r w:rsidRPr="00071553">
        <w:t>в букмекерских конторах</w:t>
      </w:r>
    </w:p>
    <w:p w:rsidR="002B0F31" w:rsidRPr="00071553" w:rsidRDefault="002B0F31">
      <w:pPr>
        <w:pStyle w:val="ConsPlusNormal"/>
        <w:jc w:val="right"/>
      </w:pPr>
      <w:r w:rsidRPr="00071553">
        <w:t xml:space="preserve">и </w:t>
      </w:r>
      <w:proofErr w:type="gramStart"/>
      <w:r w:rsidRPr="00071553">
        <w:t>тотализаторах</w:t>
      </w:r>
      <w:proofErr w:type="gramEnd"/>
      <w:r w:rsidRPr="00071553">
        <w:t xml:space="preserve"> учета</w:t>
      </w:r>
    </w:p>
    <w:p w:rsidR="002B0F31" w:rsidRPr="00071553" w:rsidRDefault="002B0F31">
      <w:pPr>
        <w:pStyle w:val="ConsPlusNormal"/>
        <w:jc w:val="right"/>
      </w:pPr>
      <w:r w:rsidRPr="00071553">
        <w:t>участников азартных игр,</w:t>
      </w:r>
    </w:p>
    <w:p w:rsidR="002B0F31" w:rsidRPr="00071553" w:rsidRDefault="002B0F31">
      <w:pPr>
        <w:pStyle w:val="ConsPlusNormal"/>
        <w:jc w:val="right"/>
      </w:pPr>
      <w:r w:rsidRPr="00071553">
        <w:t xml:space="preserve">от </w:t>
      </w:r>
      <w:proofErr w:type="gramStart"/>
      <w:r w:rsidRPr="00071553">
        <w:t>которых</w:t>
      </w:r>
      <w:proofErr w:type="gramEnd"/>
      <w:r w:rsidRPr="00071553">
        <w:t xml:space="preserve"> принимаются ставки</w:t>
      </w:r>
    </w:p>
    <w:p w:rsidR="002B0F31" w:rsidRPr="00071553" w:rsidRDefault="002B0F31">
      <w:pPr>
        <w:pStyle w:val="ConsPlusNormal"/>
        <w:jc w:val="right"/>
      </w:pPr>
      <w:r w:rsidRPr="00071553">
        <w:t>на официальные спортивные</w:t>
      </w:r>
    </w:p>
    <w:p w:rsidR="002B0F31" w:rsidRPr="00071553" w:rsidRDefault="002B0F31">
      <w:pPr>
        <w:pStyle w:val="ConsPlusNormal"/>
        <w:jc w:val="right"/>
      </w:pPr>
      <w:r w:rsidRPr="00071553">
        <w:t>соревнования</w:t>
      </w:r>
    </w:p>
    <w:p w:rsidR="002B0F31" w:rsidRPr="00071553" w:rsidRDefault="002B0F31">
      <w:pPr>
        <w:pStyle w:val="ConsPlusNormal"/>
        <w:jc w:val="right"/>
      </w:pPr>
    </w:p>
    <w:p w:rsidR="002B0F31" w:rsidRPr="00071553" w:rsidRDefault="002B0F31">
      <w:pPr>
        <w:pStyle w:val="ConsPlusNormal"/>
        <w:jc w:val="right"/>
      </w:pPr>
      <w:r w:rsidRPr="00071553">
        <w:t>(форма)</w:t>
      </w:r>
    </w:p>
    <w:p w:rsidR="002B0F31" w:rsidRPr="00071553" w:rsidRDefault="002B0F31">
      <w:pPr>
        <w:pStyle w:val="ConsPlusNormal"/>
        <w:ind w:firstLine="540"/>
        <w:jc w:val="both"/>
      </w:pPr>
    </w:p>
    <w:p w:rsidR="002B0F31" w:rsidRPr="00071553" w:rsidRDefault="002B0F31">
      <w:pPr>
        <w:pStyle w:val="ConsPlusNormal"/>
        <w:jc w:val="center"/>
      </w:pPr>
      <w:bookmarkStart w:id="2" w:name="P62"/>
      <w:bookmarkEnd w:id="2"/>
      <w:r w:rsidRPr="00071553">
        <w:t>УЧЕТ</w:t>
      </w:r>
    </w:p>
    <w:p w:rsidR="002B0F31" w:rsidRPr="00071553" w:rsidRDefault="002B0F31">
      <w:pPr>
        <w:pStyle w:val="ConsPlusNormal"/>
        <w:jc w:val="center"/>
      </w:pPr>
      <w:r w:rsidRPr="00071553">
        <w:t>участников азартных игр, от которых принимаются</w:t>
      </w:r>
    </w:p>
    <w:p w:rsidR="002B0F31" w:rsidRPr="00071553" w:rsidRDefault="002B0F31">
      <w:pPr>
        <w:pStyle w:val="ConsPlusNormal"/>
        <w:jc w:val="center"/>
      </w:pPr>
      <w:r w:rsidRPr="00071553">
        <w:t>ставки на официальные спортивные соревнования</w:t>
      </w:r>
    </w:p>
    <w:p w:rsidR="002B0F31" w:rsidRPr="00071553" w:rsidRDefault="002B0F31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"/>
        <w:gridCol w:w="1419"/>
        <w:gridCol w:w="2412"/>
        <w:gridCol w:w="1419"/>
        <w:gridCol w:w="1048"/>
        <w:gridCol w:w="1012"/>
        <w:gridCol w:w="1993"/>
        <w:gridCol w:w="1463"/>
        <w:gridCol w:w="1463"/>
      </w:tblGrid>
      <w:tr w:rsidR="00071553" w:rsidRPr="00071553">
        <w:tc>
          <w:tcPr>
            <w:tcW w:w="525" w:type="dxa"/>
          </w:tcPr>
          <w:p w:rsidR="002B0F31" w:rsidRPr="00071553" w:rsidRDefault="002B0F31">
            <w:pPr>
              <w:pStyle w:val="ConsPlusNormal"/>
              <w:jc w:val="center"/>
            </w:pPr>
            <w:r w:rsidRPr="00071553">
              <w:t xml:space="preserve">N </w:t>
            </w:r>
            <w:proofErr w:type="gramStart"/>
            <w:r w:rsidRPr="00071553">
              <w:t>п</w:t>
            </w:r>
            <w:proofErr w:type="gramEnd"/>
            <w:r w:rsidRPr="00071553">
              <w:t>/п</w:t>
            </w:r>
          </w:p>
        </w:tc>
        <w:tc>
          <w:tcPr>
            <w:tcW w:w="1419" w:type="dxa"/>
          </w:tcPr>
          <w:p w:rsidR="002B0F31" w:rsidRPr="00071553" w:rsidRDefault="002B0F31">
            <w:pPr>
              <w:pStyle w:val="ConsPlusNormal"/>
              <w:jc w:val="center"/>
            </w:pPr>
            <w:r w:rsidRPr="00071553">
              <w:t>Ф.И.О. участника азартных игр</w:t>
            </w:r>
          </w:p>
        </w:tc>
        <w:tc>
          <w:tcPr>
            <w:tcW w:w="2412" w:type="dxa"/>
          </w:tcPr>
          <w:p w:rsidR="002B0F31" w:rsidRPr="00071553" w:rsidRDefault="002B0F31">
            <w:pPr>
              <w:pStyle w:val="ConsPlusNormal"/>
              <w:jc w:val="center"/>
            </w:pPr>
            <w:proofErr w:type="gramStart"/>
            <w:r w:rsidRPr="00071553">
              <w:t>Данные документа, удостоверяющего личность (вид, серия, номер, дата выдачи, наименование органа, выдавшего документ)</w:t>
            </w:r>
            <w:proofErr w:type="gramEnd"/>
          </w:p>
        </w:tc>
        <w:tc>
          <w:tcPr>
            <w:tcW w:w="1419" w:type="dxa"/>
          </w:tcPr>
          <w:p w:rsidR="002B0F31" w:rsidRPr="00071553" w:rsidRDefault="002B0F31">
            <w:pPr>
              <w:pStyle w:val="ConsPlusNormal"/>
              <w:jc w:val="center"/>
            </w:pPr>
            <w:r w:rsidRPr="00071553">
              <w:t>Дата внесения сведений об участнике азартной игры</w:t>
            </w:r>
          </w:p>
        </w:tc>
        <w:tc>
          <w:tcPr>
            <w:tcW w:w="1048" w:type="dxa"/>
          </w:tcPr>
          <w:p w:rsidR="002B0F31" w:rsidRPr="00071553" w:rsidRDefault="002B0F31">
            <w:pPr>
              <w:pStyle w:val="ConsPlusNormal"/>
              <w:jc w:val="center"/>
            </w:pPr>
            <w:r w:rsidRPr="00071553">
              <w:t>Дата приема ставки</w:t>
            </w:r>
          </w:p>
        </w:tc>
        <w:tc>
          <w:tcPr>
            <w:tcW w:w="1012" w:type="dxa"/>
          </w:tcPr>
          <w:p w:rsidR="002B0F31" w:rsidRPr="00071553" w:rsidRDefault="002B0F31">
            <w:pPr>
              <w:pStyle w:val="ConsPlusNormal"/>
              <w:jc w:val="center"/>
            </w:pPr>
            <w:r w:rsidRPr="00071553">
              <w:t>Размер ставки</w:t>
            </w:r>
          </w:p>
        </w:tc>
        <w:tc>
          <w:tcPr>
            <w:tcW w:w="1993" w:type="dxa"/>
          </w:tcPr>
          <w:p w:rsidR="002B0F31" w:rsidRPr="00071553" w:rsidRDefault="002B0F31">
            <w:pPr>
              <w:pStyle w:val="ConsPlusNormal"/>
              <w:jc w:val="center"/>
            </w:pPr>
            <w:r w:rsidRPr="00071553">
              <w:t>Наименование официального спортивного соревнования и дата его проведения</w:t>
            </w:r>
          </w:p>
        </w:tc>
        <w:tc>
          <w:tcPr>
            <w:tcW w:w="1463" w:type="dxa"/>
          </w:tcPr>
          <w:p w:rsidR="002B0F31" w:rsidRPr="00071553" w:rsidRDefault="002B0F31">
            <w:pPr>
              <w:pStyle w:val="ConsPlusNormal"/>
              <w:jc w:val="center"/>
            </w:pPr>
            <w:r w:rsidRPr="00071553">
              <w:t>Размер выигрыша</w:t>
            </w:r>
          </w:p>
        </w:tc>
        <w:tc>
          <w:tcPr>
            <w:tcW w:w="1463" w:type="dxa"/>
          </w:tcPr>
          <w:p w:rsidR="002B0F31" w:rsidRPr="00071553" w:rsidRDefault="002B0F31">
            <w:pPr>
              <w:pStyle w:val="ConsPlusNormal"/>
              <w:jc w:val="center"/>
            </w:pPr>
            <w:r w:rsidRPr="00071553">
              <w:t>Дата выплаты выигрыша</w:t>
            </w:r>
          </w:p>
        </w:tc>
      </w:tr>
      <w:tr w:rsidR="00071553" w:rsidRPr="00071553">
        <w:tc>
          <w:tcPr>
            <w:tcW w:w="525" w:type="dxa"/>
          </w:tcPr>
          <w:p w:rsidR="002B0F31" w:rsidRPr="00071553" w:rsidRDefault="002B0F31">
            <w:pPr>
              <w:pStyle w:val="ConsPlusNormal"/>
              <w:jc w:val="center"/>
            </w:pPr>
            <w:bookmarkStart w:id="3" w:name="P75"/>
            <w:bookmarkEnd w:id="3"/>
            <w:r w:rsidRPr="00071553">
              <w:t>1</w:t>
            </w:r>
          </w:p>
        </w:tc>
        <w:tc>
          <w:tcPr>
            <w:tcW w:w="1419" w:type="dxa"/>
          </w:tcPr>
          <w:p w:rsidR="002B0F31" w:rsidRPr="00071553" w:rsidRDefault="002B0F31">
            <w:pPr>
              <w:pStyle w:val="ConsPlusNormal"/>
              <w:jc w:val="center"/>
            </w:pPr>
            <w:r w:rsidRPr="00071553">
              <w:t>2</w:t>
            </w:r>
          </w:p>
        </w:tc>
        <w:tc>
          <w:tcPr>
            <w:tcW w:w="2412" w:type="dxa"/>
          </w:tcPr>
          <w:p w:rsidR="002B0F31" w:rsidRPr="00071553" w:rsidRDefault="002B0F31">
            <w:pPr>
              <w:pStyle w:val="ConsPlusNormal"/>
              <w:jc w:val="center"/>
            </w:pPr>
            <w:r w:rsidRPr="00071553">
              <w:t>3</w:t>
            </w:r>
          </w:p>
        </w:tc>
        <w:tc>
          <w:tcPr>
            <w:tcW w:w="1419" w:type="dxa"/>
          </w:tcPr>
          <w:p w:rsidR="002B0F31" w:rsidRPr="00071553" w:rsidRDefault="002B0F31">
            <w:pPr>
              <w:pStyle w:val="ConsPlusNormal"/>
              <w:jc w:val="center"/>
            </w:pPr>
            <w:bookmarkStart w:id="4" w:name="P78"/>
            <w:bookmarkEnd w:id="4"/>
            <w:r w:rsidRPr="00071553">
              <w:t>4</w:t>
            </w:r>
          </w:p>
        </w:tc>
        <w:tc>
          <w:tcPr>
            <w:tcW w:w="1048" w:type="dxa"/>
          </w:tcPr>
          <w:p w:rsidR="002B0F31" w:rsidRPr="00071553" w:rsidRDefault="002B0F31">
            <w:pPr>
              <w:pStyle w:val="ConsPlusNormal"/>
              <w:jc w:val="center"/>
            </w:pPr>
            <w:bookmarkStart w:id="5" w:name="P79"/>
            <w:bookmarkEnd w:id="5"/>
            <w:r w:rsidRPr="00071553">
              <w:t>5</w:t>
            </w:r>
          </w:p>
        </w:tc>
        <w:tc>
          <w:tcPr>
            <w:tcW w:w="1012" w:type="dxa"/>
          </w:tcPr>
          <w:p w:rsidR="002B0F31" w:rsidRPr="00071553" w:rsidRDefault="002B0F31">
            <w:pPr>
              <w:pStyle w:val="ConsPlusNormal"/>
              <w:jc w:val="center"/>
            </w:pPr>
            <w:r w:rsidRPr="00071553">
              <w:t>6</w:t>
            </w:r>
          </w:p>
        </w:tc>
        <w:tc>
          <w:tcPr>
            <w:tcW w:w="1993" w:type="dxa"/>
          </w:tcPr>
          <w:p w:rsidR="002B0F31" w:rsidRPr="00071553" w:rsidRDefault="002B0F31">
            <w:pPr>
              <w:pStyle w:val="ConsPlusNormal"/>
              <w:jc w:val="center"/>
            </w:pPr>
            <w:bookmarkStart w:id="6" w:name="P81"/>
            <w:bookmarkEnd w:id="6"/>
            <w:r w:rsidRPr="00071553">
              <w:t>7</w:t>
            </w:r>
          </w:p>
        </w:tc>
        <w:tc>
          <w:tcPr>
            <w:tcW w:w="1463" w:type="dxa"/>
          </w:tcPr>
          <w:p w:rsidR="002B0F31" w:rsidRPr="00071553" w:rsidRDefault="002B0F31">
            <w:pPr>
              <w:pStyle w:val="ConsPlusNormal"/>
              <w:jc w:val="center"/>
            </w:pPr>
            <w:bookmarkStart w:id="7" w:name="P82"/>
            <w:bookmarkEnd w:id="7"/>
            <w:r w:rsidRPr="00071553">
              <w:t>8</w:t>
            </w:r>
          </w:p>
        </w:tc>
        <w:tc>
          <w:tcPr>
            <w:tcW w:w="1463" w:type="dxa"/>
          </w:tcPr>
          <w:p w:rsidR="002B0F31" w:rsidRPr="00071553" w:rsidRDefault="002B0F31">
            <w:pPr>
              <w:pStyle w:val="ConsPlusNormal"/>
              <w:jc w:val="center"/>
            </w:pPr>
            <w:bookmarkStart w:id="8" w:name="P83"/>
            <w:bookmarkEnd w:id="8"/>
            <w:r w:rsidRPr="00071553">
              <w:t>9</w:t>
            </w:r>
          </w:p>
        </w:tc>
      </w:tr>
      <w:tr w:rsidR="00071553" w:rsidRPr="00071553">
        <w:tc>
          <w:tcPr>
            <w:tcW w:w="525" w:type="dxa"/>
          </w:tcPr>
          <w:p w:rsidR="002B0F31" w:rsidRPr="00071553" w:rsidRDefault="002B0F31">
            <w:pPr>
              <w:pStyle w:val="ConsPlusNormal"/>
              <w:jc w:val="center"/>
            </w:pPr>
          </w:p>
        </w:tc>
        <w:tc>
          <w:tcPr>
            <w:tcW w:w="1419" w:type="dxa"/>
          </w:tcPr>
          <w:p w:rsidR="002B0F31" w:rsidRPr="00071553" w:rsidRDefault="002B0F31">
            <w:pPr>
              <w:pStyle w:val="ConsPlusNormal"/>
              <w:jc w:val="center"/>
            </w:pPr>
          </w:p>
        </w:tc>
        <w:tc>
          <w:tcPr>
            <w:tcW w:w="2412" w:type="dxa"/>
          </w:tcPr>
          <w:p w:rsidR="002B0F31" w:rsidRPr="00071553" w:rsidRDefault="002B0F31">
            <w:pPr>
              <w:pStyle w:val="ConsPlusNormal"/>
              <w:jc w:val="center"/>
            </w:pPr>
          </w:p>
        </w:tc>
        <w:tc>
          <w:tcPr>
            <w:tcW w:w="1419" w:type="dxa"/>
          </w:tcPr>
          <w:p w:rsidR="002B0F31" w:rsidRPr="00071553" w:rsidRDefault="002B0F31">
            <w:pPr>
              <w:pStyle w:val="ConsPlusNormal"/>
              <w:jc w:val="center"/>
            </w:pPr>
          </w:p>
        </w:tc>
        <w:tc>
          <w:tcPr>
            <w:tcW w:w="1048" w:type="dxa"/>
          </w:tcPr>
          <w:p w:rsidR="002B0F31" w:rsidRPr="00071553" w:rsidRDefault="002B0F31">
            <w:pPr>
              <w:pStyle w:val="ConsPlusNormal"/>
              <w:jc w:val="center"/>
            </w:pPr>
          </w:p>
        </w:tc>
        <w:tc>
          <w:tcPr>
            <w:tcW w:w="1012" w:type="dxa"/>
          </w:tcPr>
          <w:p w:rsidR="002B0F31" w:rsidRPr="00071553" w:rsidRDefault="002B0F31">
            <w:pPr>
              <w:pStyle w:val="ConsPlusNormal"/>
              <w:jc w:val="center"/>
            </w:pPr>
          </w:p>
        </w:tc>
        <w:tc>
          <w:tcPr>
            <w:tcW w:w="1993" w:type="dxa"/>
          </w:tcPr>
          <w:p w:rsidR="002B0F31" w:rsidRPr="00071553" w:rsidRDefault="002B0F31">
            <w:pPr>
              <w:pStyle w:val="ConsPlusNormal"/>
              <w:jc w:val="center"/>
            </w:pPr>
          </w:p>
        </w:tc>
        <w:tc>
          <w:tcPr>
            <w:tcW w:w="1463" w:type="dxa"/>
          </w:tcPr>
          <w:p w:rsidR="002B0F31" w:rsidRPr="00071553" w:rsidRDefault="002B0F31">
            <w:pPr>
              <w:pStyle w:val="ConsPlusNormal"/>
              <w:jc w:val="center"/>
            </w:pPr>
          </w:p>
        </w:tc>
        <w:tc>
          <w:tcPr>
            <w:tcW w:w="1463" w:type="dxa"/>
          </w:tcPr>
          <w:p w:rsidR="002B0F31" w:rsidRPr="00071553" w:rsidRDefault="002B0F31">
            <w:pPr>
              <w:pStyle w:val="ConsPlusNormal"/>
              <w:jc w:val="center"/>
            </w:pPr>
          </w:p>
        </w:tc>
      </w:tr>
      <w:tr w:rsidR="00071553" w:rsidRPr="00071553">
        <w:tc>
          <w:tcPr>
            <w:tcW w:w="525" w:type="dxa"/>
          </w:tcPr>
          <w:p w:rsidR="002B0F31" w:rsidRPr="00071553" w:rsidRDefault="002B0F31">
            <w:pPr>
              <w:pStyle w:val="ConsPlusNormal"/>
              <w:jc w:val="center"/>
            </w:pPr>
          </w:p>
        </w:tc>
        <w:tc>
          <w:tcPr>
            <w:tcW w:w="1419" w:type="dxa"/>
          </w:tcPr>
          <w:p w:rsidR="002B0F31" w:rsidRPr="00071553" w:rsidRDefault="002B0F31">
            <w:pPr>
              <w:pStyle w:val="ConsPlusNormal"/>
              <w:jc w:val="center"/>
            </w:pPr>
          </w:p>
        </w:tc>
        <w:tc>
          <w:tcPr>
            <w:tcW w:w="2412" w:type="dxa"/>
          </w:tcPr>
          <w:p w:rsidR="002B0F31" w:rsidRPr="00071553" w:rsidRDefault="002B0F31">
            <w:pPr>
              <w:pStyle w:val="ConsPlusNormal"/>
              <w:jc w:val="center"/>
            </w:pPr>
          </w:p>
        </w:tc>
        <w:tc>
          <w:tcPr>
            <w:tcW w:w="1419" w:type="dxa"/>
          </w:tcPr>
          <w:p w:rsidR="002B0F31" w:rsidRPr="00071553" w:rsidRDefault="002B0F31">
            <w:pPr>
              <w:pStyle w:val="ConsPlusNormal"/>
              <w:jc w:val="center"/>
            </w:pPr>
          </w:p>
        </w:tc>
        <w:tc>
          <w:tcPr>
            <w:tcW w:w="1048" w:type="dxa"/>
          </w:tcPr>
          <w:p w:rsidR="002B0F31" w:rsidRPr="00071553" w:rsidRDefault="002B0F31">
            <w:pPr>
              <w:pStyle w:val="ConsPlusNormal"/>
              <w:jc w:val="center"/>
            </w:pPr>
          </w:p>
        </w:tc>
        <w:tc>
          <w:tcPr>
            <w:tcW w:w="1012" w:type="dxa"/>
          </w:tcPr>
          <w:p w:rsidR="002B0F31" w:rsidRPr="00071553" w:rsidRDefault="002B0F31">
            <w:pPr>
              <w:pStyle w:val="ConsPlusNormal"/>
              <w:jc w:val="center"/>
            </w:pPr>
          </w:p>
        </w:tc>
        <w:tc>
          <w:tcPr>
            <w:tcW w:w="1993" w:type="dxa"/>
          </w:tcPr>
          <w:p w:rsidR="002B0F31" w:rsidRPr="00071553" w:rsidRDefault="002B0F31">
            <w:pPr>
              <w:pStyle w:val="ConsPlusNormal"/>
              <w:jc w:val="center"/>
            </w:pPr>
          </w:p>
        </w:tc>
        <w:tc>
          <w:tcPr>
            <w:tcW w:w="1463" w:type="dxa"/>
          </w:tcPr>
          <w:p w:rsidR="002B0F31" w:rsidRPr="00071553" w:rsidRDefault="002B0F31">
            <w:pPr>
              <w:pStyle w:val="ConsPlusNormal"/>
              <w:jc w:val="center"/>
            </w:pPr>
          </w:p>
        </w:tc>
        <w:tc>
          <w:tcPr>
            <w:tcW w:w="1463" w:type="dxa"/>
          </w:tcPr>
          <w:p w:rsidR="002B0F31" w:rsidRPr="00071553" w:rsidRDefault="002B0F31">
            <w:pPr>
              <w:pStyle w:val="ConsPlusNormal"/>
              <w:jc w:val="center"/>
            </w:pPr>
          </w:p>
        </w:tc>
      </w:tr>
    </w:tbl>
    <w:p w:rsidR="002B0F31" w:rsidRPr="00071553" w:rsidRDefault="002B0F31">
      <w:pPr>
        <w:sectPr w:rsidR="002B0F31" w:rsidRPr="00071553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2B0F31" w:rsidRPr="00071553" w:rsidRDefault="002B0F31">
      <w:pPr>
        <w:pStyle w:val="ConsPlusNormal"/>
        <w:ind w:firstLine="540"/>
        <w:jc w:val="both"/>
      </w:pPr>
    </w:p>
    <w:p w:rsidR="002B0F31" w:rsidRPr="00071553" w:rsidRDefault="002B0F31">
      <w:pPr>
        <w:pStyle w:val="ConsPlusNormal"/>
        <w:ind w:firstLine="540"/>
        <w:jc w:val="both"/>
      </w:pPr>
      <w:r w:rsidRPr="00071553">
        <w:t>Примечания:</w:t>
      </w:r>
    </w:p>
    <w:p w:rsidR="002B0F31" w:rsidRPr="00071553" w:rsidRDefault="002B0F31">
      <w:pPr>
        <w:pStyle w:val="ConsPlusNormal"/>
        <w:ind w:firstLine="540"/>
        <w:jc w:val="both"/>
      </w:pPr>
      <w:r w:rsidRPr="00071553">
        <w:t xml:space="preserve">1. Информация в </w:t>
      </w:r>
      <w:hyperlink w:anchor="P75" w:history="1">
        <w:r w:rsidRPr="00071553">
          <w:t>графы 1</w:t>
        </w:r>
      </w:hyperlink>
      <w:r w:rsidRPr="00071553">
        <w:t xml:space="preserve"> - </w:t>
      </w:r>
      <w:hyperlink w:anchor="P78" w:history="1">
        <w:r w:rsidRPr="00071553">
          <w:t>4</w:t>
        </w:r>
      </w:hyperlink>
      <w:r w:rsidRPr="00071553">
        <w:t xml:space="preserve"> вносится единожды при первичном оказании организатором азартной игры участнику азартной игры услуги по заключению основанного на риске соглашения о выигрыше (организации заключения основанного на риске соглашений о выигрыше).</w:t>
      </w:r>
    </w:p>
    <w:p w:rsidR="002B0F31" w:rsidRPr="00071553" w:rsidRDefault="002B0F31">
      <w:pPr>
        <w:pStyle w:val="ConsPlusNormal"/>
        <w:ind w:firstLine="540"/>
        <w:jc w:val="both"/>
      </w:pPr>
      <w:r w:rsidRPr="00071553">
        <w:t xml:space="preserve">2. Информация в </w:t>
      </w:r>
      <w:hyperlink w:anchor="P79" w:history="1">
        <w:r w:rsidRPr="00071553">
          <w:t>графы 5</w:t>
        </w:r>
      </w:hyperlink>
      <w:r w:rsidRPr="00071553">
        <w:t xml:space="preserve"> - </w:t>
      </w:r>
      <w:hyperlink w:anchor="P81" w:history="1">
        <w:r w:rsidRPr="00071553">
          <w:t>7</w:t>
        </w:r>
      </w:hyperlink>
      <w:r w:rsidRPr="00071553">
        <w:t xml:space="preserve"> вносится отдельно по каждой ставке, переданной участником азартной игры, в каждую строку вносится только одно значение показателя.</w:t>
      </w:r>
    </w:p>
    <w:p w:rsidR="002B0F31" w:rsidRPr="00071553" w:rsidRDefault="002B0F31">
      <w:pPr>
        <w:pStyle w:val="ConsPlusNormal"/>
        <w:ind w:firstLine="540"/>
        <w:jc w:val="both"/>
      </w:pPr>
      <w:r w:rsidRPr="00071553">
        <w:t xml:space="preserve">3. Информация в </w:t>
      </w:r>
      <w:hyperlink w:anchor="P82" w:history="1">
        <w:r w:rsidRPr="00071553">
          <w:t>графы 8</w:t>
        </w:r>
      </w:hyperlink>
      <w:r w:rsidRPr="00071553">
        <w:t xml:space="preserve"> - </w:t>
      </w:r>
      <w:hyperlink w:anchor="P83" w:history="1">
        <w:r w:rsidRPr="00071553">
          <w:t>9</w:t>
        </w:r>
      </w:hyperlink>
      <w:r w:rsidRPr="00071553">
        <w:t xml:space="preserve"> вносится в случае признания участника азартной игры </w:t>
      </w:r>
      <w:proofErr w:type="gramStart"/>
      <w:r w:rsidRPr="00071553">
        <w:t>выигравшим</w:t>
      </w:r>
      <w:proofErr w:type="gramEnd"/>
      <w:r w:rsidRPr="00071553">
        <w:t>.</w:t>
      </w:r>
    </w:p>
    <w:p w:rsidR="002B0F31" w:rsidRPr="00071553" w:rsidRDefault="002B0F31">
      <w:pPr>
        <w:pStyle w:val="ConsPlusNormal"/>
        <w:ind w:firstLine="540"/>
        <w:jc w:val="both"/>
      </w:pPr>
    </w:p>
    <w:p w:rsidR="002B0F31" w:rsidRPr="00071553" w:rsidRDefault="002B0F31">
      <w:pPr>
        <w:pStyle w:val="ConsPlusNormal"/>
        <w:ind w:firstLine="540"/>
        <w:jc w:val="both"/>
      </w:pPr>
    </w:p>
    <w:p w:rsidR="002B0F31" w:rsidRPr="00071553" w:rsidRDefault="002B0F31">
      <w:pPr>
        <w:pStyle w:val="ConsPlusNormal"/>
        <w:ind w:firstLine="540"/>
        <w:jc w:val="both"/>
      </w:pPr>
    </w:p>
    <w:p w:rsidR="002B0F31" w:rsidRPr="00071553" w:rsidRDefault="002B0F31">
      <w:pPr>
        <w:pStyle w:val="ConsPlusNormal"/>
        <w:ind w:firstLine="540"/>
        <w:jc w:val="both"/>
      </w:pPr>
    </w:p>
    <w:p w:rsidR="002B0F31" w:rsidRPr="00071553" w:rsidRDefault="002B0F31">
      <w:pPr>
        <w:pStyle w:val="ConsPlusNormal"/>
        <w:ind w:firstLine="540"/>
        <w:jc w:val="both"/>
      </w:pPr>
    </w:p>
    <w:p w:rsidR="002B0F31" w:rsidRPr="00071553" w:rsidRDefault="002B0F31">
      <w:pPr>
        <w:pStyle w:val="ConsPlusNormal"/>
        <w:jc w:val="right"/>
        <w:outlineLvl w:val="0"/>
      </w:pPr>
      <w:r w:rsidRPr="00071553">
        <w:t>Утверждены</w:t>
      </w:r>
    </w:p>
    <w:p w:rsidR="002B0F31" w:rsidRPr="00071553" w:rsidRDefault="002B0F31">
      <w:pPr>
        <w:pStyle w:val="ConsPlusNormal"/>
        <w:jc w:val="right"/>
      </w:pPr>
      <w:r w:rsidRPr="00071553">
        <w:t>постановлением Правительства</w:t>
      </w:r>
    </w:p>
    <w:p w:rsidR="002B0F31" w:rsidRPr="00071553" w:rsidRDefault="002B0F31">
      <w:pPr>
        <w:pStyle w:val="ConsPlusNormal"/>
        <w:jc w:val="right"/>
      </w:pPr>
      <w:r w:rsidRPr="00071553">
        <w:t>Российской Федерации</w:t>
      </w:r>
    </w:p>
    <w:p w:rsidR="002B0F31" w:rsidRPr="00071553" w:rsidRDefault="002B0F31">
      <w:pPr>
        <w:pStyle w:val="ConsPlusNormal"/>
        <w:jc w:val="right"/>
      </w:pPr>
      <w:r w:rsidRPr="00071553">
        <w:t>от 27 января 2014 г. N 60</w:t>
      </w:r>
    </w:p>
    <w:p w:rsidR="002B0F31" w:rsidRPr="00071553" w:rsidRDefault="002B0F31">
      <w:pPr>
        <w:pStyle w:val="ConsPlusNormal"/>
        <w:jc w:val="center"/>
      </w:pPr>
    </w:p>
    <w:p w:rsidR="002B0F31" w:rsidRPr="00071553" w:rsidRDefault="002B0F31">
      <w:pPr>
        <w:pStyle w:val="ConsPlusTitle"/>
        <w:jc w:val="center"/>
      </w:pPr>
      <w:bookmarkStart w:id="9" w:name="P117"/>
      <w:bookmarkEnd w:id="9"/>
      <w:r w:rsidRPr="00071553">
        <w:t>ПРАВИЛА</w:t>
      </w:r>
    </w:p>
    <w:p w:rsidR="002B0F31" w:rsidRPr="00071553" w:rsidRDefault="002B0F31">
      <w:pPr>
        <w:pStyle w:val="ConsPlusTitle"/>
        <w:jc w:val="center"/>
      </w:pPr>
      <w:r w:rsidRPr="00071553">
        <w:t>ПРЕДСТАВЛЕНИЯ В ФЕДЕРАЛЬНУЮ НАЛОГОВУЮ СЛУЖБУ ДАННЫХ УЧЕТА</w:t>
      </w:r>
    </w:p>
    <w:p w:rsidR="002B0F31" w:rsidRPr="00071553" w:rsidRDefault="002B0F31">
      <w:pPr>
        <w:pStyle w:val="ConsPlusTitle"/>
        <w:jc w:val="center"/>
      </w:pPr>
      <w:r w:rsidRPr="00071553">
        <w:t>В БУКМЕКЕРСКИХ КОНТОРАХ И ТОТАЛИЗАТОРАХ УЧАСТНИКОВ АЗАРТНЫХ</w:t>
      </w:r>
    </w:p>
    <w:p w:rsidR="002B0F31" w:rsidRPr="00071553" w:rsidRDefault="002B0F31">
      <w:pPr>
        <w:pStyle w:val="ConsPlusTitle"/>
        <w:jc w:val="center"/>
      </w:pPr>
      <w:r w:rsidRPr="00071553">
        <w:t xml:space="preserve">ИГР, ОТ КОТОРЫХ ПРИНИМАЮТСЯ СТАВКИ </w:t>
      </w:r>
      <w:proofErr w:type="gramStart"/>
      <w:r w:rsidRPr="00071553">
        <w:t>НА</w:t>
      </w:r>
      <w:proofErr w:type="gramEnd"/>
      <w:r w:rsidRPr="00071553">
        <w:t xml:space="preserve"> ОФИЦИАЛЬНЫЕ</w:t>
      </w:r>
    </w:p>
    <w:p w:rsidR="002B0F31" w:rsidRPr="00071553" w:rsidRDefault="002B0F31">
      <w:pPr>
        <w:pStyle w:val="ConsPlusTitle"/>
        <w:jc w:val="center"/>
      </w:pPr>
      <w:r w:rsidRPr="00071553">
        <w:t>СПОРТИВНЫЕ СОРЕВНОВАНИЯ</w:t>
      </w:r>
    </w:p>
    <w:p w:rsidR="002B0F31" w:rsidRPr="00071553" w:rsidRDefault="002B0F31">
      <w:pPr>
        <w:pStyle w:val="ConsPlusNormal"/>
        <w:jc w:val="center"/>
      </w:pPr>
    </w:p>
    <w:p w:rsidR="002B0F31" w:rsidRPr="00071553" w:rsidRDefault="002B0F31">
      <w:pPr>
        <w:pStyle w:val="ConsPlusNormal"/>
        <w:ind w:firstLine="540"/>
        <w:jc w:val="both"/>
      </w:pPr>
      <w:r w:rsidRPr="00071553">
        <w:t>1. Организаторы азартных игр в букмекерских конторах и тотализаторах (далее - организаторы азартных игр) ежегодно представляют в Федеральную налоговую службу данные учета участников азартных игр, от которых принимаются ставки на официальные спортивные соревнования (далее - данные учета).</w:t>
      </w:r>
    </w:p>
    <w:p w:rsidR="002B0F31" w:rsidRPr="00071553" w:rsidRDefault="002B0F31">
      <w:pPr>
        <w:pStyle w:val="ConsPlusNormal"/>
        <w:ind w:firstLine="540"/>
        <w:jc w:val="both"/>
      </w:pPr>
      <w:r w:rsidRPr="00071553">
        <w:t xml:space="preserve">2. </w:t>
      </w:r>
      <w:proofErr w:type="gramStart"/>
      <w:r w:rsidRPr="00071553">
        <w:t xml:space="preserve">Данные учета представляются по состоянию на 31 декабря отчетного года не позднее 30 дней по окончании отчетного года по </w:t>
      </w:r>
      <w:hyperlink w:anchor="P62" w:history="1">
        <w:r w:rsidRPr="00071553">
          <w:t>форме</w:t>
        </w:r>
      </w:hyperlink>
      <w:r w:rsidRPr="00071553">
        <w:t xml:space="preserve"> согласно приложению к Правилам ведения в букмекерских конторах и тотализаторах учета участников азартных игр, от которых принимаются ставки на официальные спортивные соревнования, утвержденным постановлением Правительства Российской Федерации от 27 января 2014 г. N 60 "Об утверждении Правил ведения в букмекерских</w:t>
      </w:r>
      <w:proofErr w:type="gramEnd"/>
      <w:r w:rsidRPr="00071553">
        <w:t xml:space="preserve"> </w:t>
      </w:r>
      <w:proofErr w:type="gramStart"/>
      <w:r w:rsidRPr="00071553">
        <w:t>конторах и тотализаторах учета участников азартных игр, от которых принимаются ставки на официальные спортивные соревнования, и Правил представления в Федеральную налоговую службу данных учета в букмекерских конторах и тотализаторах участников азартных игр, от которых принимаются ставки на официальные спортивные соревнования".</w:t>
      </w:r>
      <w:proofErr w:type="gramEnd"/>
    </w:p>
    <w:p w:rsidR="002B0F31" w:rsidRPr="00071553" w:rsidRDefault="002B0F31">
      <w:pPr>
        <w:pStyle w:val="ConsPlusNormal"/>
        <w:ind w:firstLine="540"/>
        <w:jc w:val="both"/>
      </w:pPr>
      <w:r w:rsidRPr="00071553">
        <w:t>3. Данные учета представляются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"Интернет".</w:t>
      </w:r>
    </w:p>
    <w:p w:rsidR="002B0F31" w:rsidRPr="00071553" w:rsidRDefault="002B0F31">
      <w:pPr>
        <w:pStyle w:val="ConsPlusNormal"/>
        <w:ind w:firstLine="540"/>
        <w:jc w:val="both"/>
      </w:pPr>
      <w:r w:rsidRPr="00071553">
        <w:t>4. Совместимость данных учета, представляемых в форме электронного документа, обеспечивается за счет соблюдения следующих единых организационных, методологических и программно-технических условий:</w:t>
      </w:r>
    </w:p>
    <w:p w:rsidR="002B0F31" w:rsidRPr="00071553" w:rsidRDefault="002B0F31">
      <w:pPr>
        <w:pStyle w:val="ConsPlusNormal"/>
        <w:ind w:firstLine="540"/>
        <w:jc w:val="both"/>
      </w:pPr>
      <w:r w:rsidRPr="00071553">
        <w:t>а) применение организаторами азартных игр средств электронной подписи или иных средств подтверждения отсутствия искажений в документах, представляемых в электронной форме;</w:t>
      </w:r>
    </w:p>
    <w:p w:rsidR="002B0F31" w:rsidRPr="00071553" w:rsidRDefault="002B0F31">
      <w:pPr>
        <w:pStyle w:val="ConsPlusNormal"/>
        <w:ind w:firstLine="540"/>
        <w:jc w:val="both"/>
      </w:pPr>
      <w:bookmarkStart w:id="10" w:name="P128"/>
      <w:bookmarkEnd w:id="10"/>
      <w:r w:rsidRPr="00071553">
        <w:t xml:space="preserve">б) применение организаторами азартных игр систем единых протоколов информационно-телекоммуникационных сетей, форматов данных и форм документов, представляемых в электронной форме. </w:t>
      </w:r>
      <w:hyperlink r:id="rId6" w:history="1">
        <w:r w:rsidRPr="00071553">
          <w:t>Формат</w:t>
        </w:r>
      </w:hyperlink>
      <w:r w:rsidRPr="00071553">
        <w:t xml:space="preserve"> представления данных учета в форме электронного документа определяется Федеральной налоговой службой.</w:t>
      </w:r>
    </w:p>
    <w:p w:rsidR="002B0F31" w:rsidRPr="00071553" w:rsidRDefault="002B0F31">
      <w:pPr>
        <w:pStyle w:val="ConsPlusNormal"/>
        <w:ind w:firstLine="540"/>
        <w:jc w:val="both"/>
      </w:pPr>
    </w:p>
    <w:p w:rsidR="002B0F31" w:rsidRPr="00071553" w:rsidRDefault="002B0F31">
      <w:pPr>
        <w:pStyle w:val="ConsPlusNormal"/>
        <w:ind w:firstLine="540"/>
        <w:jc w:val="both"/>
      </w:pPr>
    </w:p>
    <w:p w:rsidR="002B0F31" w:rsidRPr="00071553" w:rsidRDefault="002B0F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F61207" w:rsidRPr="00071553" w:rsidRDefault="00F61207"/>
    <w:sectPr w:rsidR="00F61207" w:rsidRPr="00071553" w:rsidSect="00A00A56">
      <w:pgSz w:w="11906" w:h="16838"/>
      <w:pgMar w:top="1440" w:right="566" w:bottom="1440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31"/>
    <w:rsid w:val="00071553"/>
    <w:rsid w:val="002B0F31"/>
    <w:rsid w:val="009E0235"/>
    <w:rsid w:val="00CA1F55"/>
    <w:rsid w:val="00F6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F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0F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2B0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F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0F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2B0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A6A1E04A43E10AAEBF45D0FFB2442E75F895D82E5A6D3F237833689F783AF02419045B74A08BF7e7kBP" TargetMode="External"/><Relationship Id="rId5" Type="http://schemas.openxmlformats.org/officeDocument/2006/relationships/hyperlink" Target="consultantplus://offline/ref=E6A6A1E04A43E10AAEBF45D0FFB2442E75F890D521506D3F237833689F783AF024190453e7k5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3</cp:revision>
  <dcterms:created xsi:type="dcterms:W3CDTF">2017-02-07T15:36:00Z</dcterms:created>
  <dcterms:modified xsi:type="dcterms:W3CDTF">2017-02-13T14:24:00Z</dcterms:modified>
</cp:coreProperties>
</file>