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13" w:rsidRDefault="001F7E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7E13" w:rsidRPr="001F7E13" w:rsidTr="001F7E13">
        <w:tc>
          <w:tcPr>
            <w:tcW w:w="4677" w:type="dxa"/>
            <w:tcBorders>
              <w:top w:val="nil"/>
              <w:left w:val="nil"/>
              <w:bottom w:val="nil"/>
              <w:right w:val="nil"/>
            </w:tcBorders>
          </w:tcPr>
          <w:p w:rsidR="001F7E13" w:rsidRPr="001F7E13" w:rsidRDefault="001F7E13">
            <w:pPr>
              <w:pStyle w:val="ConsPlusNormal"/>
              <w:rPr>
                <w:rFonts w:ascii="Times New Roman" w:hAnsi="Times New Roman" w:cs="Times New Roman"/>
                <w:sz w:val="24"/>
                <w:szCs w:val="24"/>
              </w:rPr>
            </w:pPr>
            <w:r w:rsidRPr="001F7E13">
              <w:rPr>
                <w:rFonts w:ascii="Times New Roman" w:hAnsi="Times New Roman" w:cs="Times New Roman"/>
                <w:sz w:val="24"/>
                <w:szCs w:val="24"/>
              </w:rPr>
              <w:t>28 ноября 2016 года</w:t>
            </w:r>
          </w:p>
        </w:tc>
        <w:tc>
          <w:tcPr>
            <w:tcW w:w="4678" w:type="dxa"/>
            <w:tcBorders>
              <w:top w:val="nil"/>
              <w:left w:val="nil"/>
              <w:bottom w:val="nil"/>
              <w:right w:val="nil"/>
            </w:tcBorders>
          </w:tcPr>
          <w:p w:rsidR="001F7E13" w:rsidRPr="001F7E13" w:rsidRDefault="001F7E13">
            <w:pPr>
              <w:pStyle w:val="ConsPlusNormal"/>
              <w:jc w:val="right"/>
              <w:rPr>
                <w:rFonts w:ascii="Times New Roman" w:hAnsi="Times New Roman" w:cs="Times New Roman"/>
                <w:sz w:val="24"/>
                <w:szCs w:val="24"/>
              </w:rPr>
            </w:pPr>
            <w:r w:rsidRPr="001F7E13">
              <w:rPr>
                <w:rFonts w:ascii="Times New Roman" w:hAnsi="Times New Roman" w:cs="Times New Roman"/>
                <w:sz w:val="24"/>
                <w:szCs w:val="24"/>
              </w:rPr>
              <w:t>N 2067-ЗРК</w:t>
            </w:r>
          </w:p>
        </w:tc>
      </w:tr>
    </w:tbl>
    <w:p w:rsidR="001F7E13" w:rsidRPr="001F7E13" w:rsidRDefault="001F7E13">
      <w:pPr>
        <w:pStyle w:val="ConsPlusNormal"/>
        <w:jc w:val="both"/>
        <w:rPr>
          <w:rFonts w:ascii="Times New Roman" w:hAnsi="Times New Roman" w:cs="Times New Roman"/>
          <w:sz w:val="24"/>
          <w:szCs w:val="24"/>
        </w:rPr>
      </w:pPr>
    </w:p>
    <w:p w:rsidR="001F7E13" w:rsidRPr="001F7E13" w:rsidRDefault="001F7E13">
      <w:pPr>
        <w:pStyle w:val="ConsPlusTitle"/>
        <w:jc w:val="center"/>
        <w:rPr>
          <w:rFonts w:ascii="Times New Roman" w:hAnsi="Times New Roman" w:cs="Times New Roman"/>
          <w:sz w:val="24"/>
          <w:szCs w:val="24"/>
        </w:rPr>
      </w:pPr>
      <w:r w:rsidRPr="001F7E13">
        <w:rPr>
          <w:rFonts w:ascii="Times New Roman" w:hAnsi="Times New Roman" w:cs="Times New Roman"/>
          <w:sz w:val="24"/>
          <w:szCs w:val="24"/>
        </w:rPr>
        <w:t>РЕСПУБЛИКА КАРЕЛИЯ</w:t>
      </w:r>
    </w:p>
    <w:p w:rsidR="001F7E13" w:rsidRPr="001F7E13" w:rsidRDefault="001F7E13">
      <w:pPr>
        <w:pStyle w:val="ConsPlusTitle"/>
        <w:jc w:val="center"/>
        <w:rPr>
          <w:rFonts w:ascii="Times New Roman" w:hAnsi="Times New Roman" w:cs="Times New Roman"/>
          <w:sz w:val="24"/>
          <w:szCs w:val="24"/>
        </w:rPr>
      </w:pPr>
    </w:p>
    <w:p w:rsidR="001F7E13" w:rsidRPr="001F7E13" w:rsidRDefault="001F7E13">
      <w:pPr>
        <w:pStyle w:val="ConsPlusTitle"/>
        <w:jc w:val="center"/>
        <w:rPr>
          <w:rFonts w:ascii="Times New Roman" w:hAnsi="Times New Roman" w:cs="Times New Roman"/>
          <w:sz w:val="24"/>
          <w:szCs w:val="24"/>
        </w:rPr>
      </w:pPr>
      <w:r w:rsidRPr="001F7E13">
        <w:rPr>
          <w:rFonts w:ascii="Times New Roman" w:hAnsi="Times New Roman" w:cs="Times New Roman"/>
          <w:sz w:val="24"/>
          <w:szCs w:val="24"/>
        </w:rPr>
        <w:t>ЗАКОН</w:t>
      </w:r>
    </w:p>
    <w:p w:rsidR="001F7E13" w:rsidRPr="001F7E13" w:rsidRDefault="001F7E13">
      <w:pPr>
        <w:pStyle w:val="ConsPlusTitle"/>
        <w:jc w:val="center"/>
        <w:rPr>
          <w:rFonts w:ascii="Times New Roman" w:hAnsi="Times New Roman" w:cs="Times New Roman"/>
          <w:sz w:val="24"/>
          <w:szCs w:val="24"/>
        </w:rPr>
      </w:pPr>
    </w:p>
    <w:p w:rsidR="001F7E13" w:rsidRPr="001F7E13" w:rsidRDefault="001F7E13">
      <w:pPr>
        <w:pStyle w:val="ConsPlusTitle"/>
        <w:jc w:val="center"/>
        <w:rPr>
          <w:rFonts w:ascii="Times New Roman" w:hAnsi="Times New Roman" w:cs="Times New Roman"/>
          <w:sz w:val="24"/>
          <w:szCs w:val="24"/>
        </w:rPr>
      </w:pPr>
      <w:r w:rsidRPr="001F7E13">
        <w:rPr>
          <w:rFonts w:ascii="Times New Roman" w:hAnsi="Times New Roman" w:cs="Times New Roman"/>
          <w:sz w:val="24"/>
          <w:szCs w:val="24"/>
        </w:rPr>
        <w:t>О ВНЕСЕНИИ ИЗМЕНЕНИЙ</w:t>
      </w:r>
    </w:p>
    <w:p w:rsidR="001F7E13" w:rsidRPr="001F7E13" w:rsidRDefault="001F7E13">
      <w:pPr>
        <w:pStyle w:val="ConsPlusTitle"/>
        <w:jc w:val="center"/>
        <w:rPr>
          <w:rFonts w:ascii="Times New Roman" w:hAnsi="Times New Roman" w:cs="Times New Roman"/>
          <w:sz w:val="24"/>
          <w:szCs w:val="24"/>
        </w:rPr>
      </w:pPr>
      <w:r w:rsidRPr="001F7E13">
        <w:rPr>
          <w:rFonts w:ascii="Times New Roman" w:hAnsi="Times New Roman" w:cs="Times New Roman"/>
          <w:sz w:val="24"/>
          <w:szCs w:val="24"/>
        </w:rPr>
        <w:t>В ЗАКОН РЕСПУБЛИКИ КАРЕЛИЯ "О НАЛОГАХ (СТАВКАХ НАЛОГОВ)</w:t>
      </w:r>
    </w:p>
    <w:p w:rsidR="001F7E13" w:rsidRPr="001F7E13" w:rsidRDefault="001F7E13">
      <w:pPr>
        <w:pStyle w:val="ConsPlusTitle"/>
        <w:jc w:val="center"/>
        <w:rPr>
          <w:rFonts w:ascii="Times New Roman" w:hAnsi="Times New Roman" w:cs="Times New Roman"/>
          <w:sz w:val="24"/>
          <w:szCs w:val="24"/>
        </w:rPr>
      </w:pPr>
      <w:r w:rsidRPr="001F7E13">
        <w:rPr>
          <w:rFonts w:ascii="Times New Roman" w:hAnsi="Times New Roman" w:cs="Times New Roman"/>
          <w:sz w:val="24"/>
          <w:szCs w:val="24"/>
        </w:rPr>
        <w:t>НА ТЕРРИТОРИИ РЕСПУБЛИКИ КАРЕЛИЯ"</w:t>
      </w:r>
    </w:p>
    <w:p w:rsidR="001F7E13" w:rsidRPr="001F7E13" w:rsidRDefault="001F7E13">
      <w:pPr>
        <w:pStyle w:val="ConsPlusNormal"/>
        <w:jc w:val="both"/>
        <w:rPr>
          <w:rFonts w:ascii="Times New Roman" w:hAnsi="Times New Roman" w:cs="Times New Roman"/>
          <w:sz w:val="24"/>
          <w:szCs w:val="24"/>
        </w:rPr>
      </w:pPr>
    </w:p>
    <w:p w:rsidR="001F7E13" w:rsidRPr="001F7E13" w:rsidRDefault="001F7E13">
      <w:pPr>
        <w:pStyle w:val="ConsPlusNormal"/>
        <w:jc w:val="right"/>
        <w:rPr>
          <w:rFonts w:ascii="Times New Roman" w:hAnsi="Times New Roman" w:cs="Times New Roman"/>
          <w:sz w:val="24"/>
          <w:szCs w:val="24"/>
        </w:rPr>
      </w:pPr>
      <w:proofErr w:type="gramStart"/>
      <w:r w:rsidRPr="001F7E13">
        <w:rPr>
          <w:rFonts w:ascii="Times New Roman" w:hAnsi="Times New Roman" w:cs="Times New Roman"/>
          <w:sz w:val="24"/>
          <w:szCs w:val="24"/>
        </w:rPr>
        <w:t>Принят</w:t>
      </w:r>
      <w:proofErr w:type="gramEnd"/>
    </w:p>
    <w:p w:rsidR="001F7E13" w:rsidRPr="001F7E13" w:rsidRDefault="001F7E13">
      <w:pPr>
        <w:pStyle w:val="ConsPlusNormal"/>
        <w:jc w:val="right"/>
        <w:rPr>
          <w:rFonts w:ascii="Times New Roman" w:hAnsi="Times New Roman" w:cs="Times New Roman"/>
          <w:sz w:val="24"/>
          <w:szCs w:val="24"/>
        </w:rPr>
      </w:pPr>
      <w:r w:rsidRPr="001F7E13">
        <w:rPr>
          <w:rFonts w:ascii="Times New Roman" w:hAnsi="Times New Roman" w:cs="Times New Roman"/>
          <w:sz w:val="24"/>
          <w:szCs w:val="24"/>
        </w:rPr>
        <w:t>Законодательным Собранием</w:t>
      </w:r>
    </w:p>
    <w:p w:rsidR="001F7E13" w:rsidRPr="001F7E13" w:rsidRDefault="001F7E13">
      <w:pPr>
        <w:pStyle w:val="ConsPlusNormal"/>
        <w:jc w:val="right"/>
        <w:rPr>
          <w:rFonts w:ascii="Times New Roman" w:hAnsi="Times New Roman" w:cs="Times New Roman"/>
          <w:sz w:val="24"/>
          <w:szCs w:val="24"/>
        </w:rPr>
      </w:pPr>
      <w:r w:rsidRPr="001F7E13">
        <w:rPr>
          <w:rFonts w:ascii="Times New Roman" w:hAnsi="Times New Roman" w:cs="Times New Roman"/>
          <w:sz w:val="24"/>
          <w:szCs w:val="24"/>
        </w:rPr>
        <w:t>Республики Карелия</w:t>
      </w:r>
    </w:p>
    <w:p w:rsidR="001F7E13" w:rsidRPr="001F7E13" w:rsidRDefault="001F7E13" w:rsidP="001F7E13">
      <w:pPr>
        <w:pStyle w:val="ConsPlusNormal"/>
        <w:jc w:val="right"/>
        <w:rPr>
          <w:rFonts w:ascii="Times New Roman" w:hAnsi="Times New Roman" w:cs="Times New Roman"/>
          <w:sz w:val="24"/>
          <w:szCs w:val="24"/>
        </w:rPr>
      </w:pPr>
      <w:r w:rsidRPr="001F7E13">
        <w:rPr>
          <w:rFonts w:ascii="Times New Roman" w:hAnsi="Times New Roman" w:cs="Times New Roman"/>
          <w:sz w:val="24"/>
          <w:szCs w:val="24"/>
        </w:rPr>
        <w:t>17 ноября 2016 года</w:t>
      </w:r>
    </w:p>
    <w:p w:rsidR="001F7E13" w:rsidRPr="001F7E13" w:rsidRDefault="001F7E13">
      <w:pPr>
        <w:pStyle w:val="ConsPlusNormal"/>
        <w:ind w:firstLine="540"/>
        <w:jc w:val="both"/>
        <w:outlineLvl w:val="0"/>
        <w:rPr>
          <w:rFonts w:ascii="Times New Roman" w:hAnsi="Times New Roman" w:cs="Times New Roman"/>
          <w:sz w:val="24"/>
          <w:szCs w:val="24"/>
        </w:rPr>
      </w:pPr>
      <w:r w:rsidRPr="001F7E13">
        <w:rPr>
          <w:rFonts w:ascii="Times New Roman" w:hAnsi="Times New Roman" w:cs="Times New Roman"/>
          <w:sz w:val="24"/>
          <w:szCs w:val="24"/>
        </w:rPr>
        <w:t>Статья 1</w:t>
      </w:r>
    </w:p>
    <w:p w:rsidR="001F7E13" w:rsidRPr="001F7E13" w:rsidRDefault="001F7E13">
      <w:pPr>
        <w:pStyle w:val="ConsPlusNormal"/>
        <w:jc w:val="both"/>
        <w:rPr>
          <w:rFonts w:ascii="Times New Roman" w:hAnsi="Times New Roman" w:cs="Times New Roman"/>
          <w:sz w:val="24"/>
          <w:szCs w:val="24"/>
        </w:rPr>
      </w:pPr>
    </w:p>
    <w:p w:rsidR="001F7E13" w:rsidRPr="001F7E13" w:rsidRDefault="001F7E13">
      <w:pPr>
        <w:pStyle w:val="ConsPlusNormal"/>
        <w:ind w:firstLine="540"/>
        <w:jc w:val="both"/>
        <w:rPr>
          <w:rFonts w:ascii="Times New Roman" w:hAnsi="Times New Roman" w:cs="Times New Roman"/>
          <w:sz w:val="24"/>
          <w:szCs w:val="24"/>
        </w:rPr>
      </w:pPr>
      <w:proofErr w:type="gramStart"/>
      <w:r w:rsidRPr="001F7E13">
        <w:rPr>
          <w:rFonts w:ascii="Times New Roman" w:hAnsi="Times New Roman" w:cs="Times New Roman"/>
          <w:sz w:val="24"/>
          <w:szCs w:val="24"/>
        </w:rPr>
        <w:t xml:space="preserve">Внести в </w:t>
      </w:r>
      <w:hyperlink r:id="rId5" w:history="1">
        <w:r w:rsidRPr="001F7E13">
          <w:rPr>
            <w:rFonts w:ascii="Times New Roman" w:hAnsi="Times New Roman" w:cs="Times New Roman"/>
            <w:sz w:val="24"/>
            <w:szCs w:val="24"/>
          </w:rPr>
          <w:t>Закон</w:t>
        </w:r>
      </w:hyperlink>
      <w:r w:rsidRPr="001F7E13">
        <w:rPr>
          <w:rFonts w:ascii="Times New Roman" w:hAnsi="Times New Roman" w:cs="Times New Roman"/>
          <w:sz w:val="24"/>
          <w:szCs w:val="24"/>
        </w:rPr>
        <w:t xml:space="preserve"> Республики Карелия от 30 декабря 1999 года N 384-ЗРК "О налогах (ставках налогов) на территории Республики Карелия" (Собрание законодательства Республики Карелия, 1999, N 12, ст. 1633; 2002, N 11, ст. 1346; 2003, N 6, ст. 611; N 10, ст. 1090, 1102; N 11, ст. 1238; 2004, N 11, ст. 1252, 1255;</w:t>
      </w:r>
      <w:proofErr w:type="gramEnd"/>
      <w:r w:rsidRPr="001F7E13">
        <w:rPr>
          <w:rFonts w:ascii="Times New Roman" w:hAnsi="Times New Roman" w:cs="Times New Roman"/>
          <w:sz w:val="24"/>
          <w:szCs w:val="24"/>
        </w:rPr>
        <w:t xml:space="preserve"> </w:t>
      </w:r>
      <w:proofErr w:type="gramStart"/>
      <w:r w:rsidRPr="001F7E13">
        <w:rPr>
          <w:rFonts w:ascii="Times New Roman" w:hAnsi="Times New Roman" w:cs="Times New Roman"/>
          <w:sz w:val="24"/>
          <w:szCs w:val="24"/>
        </w:rPr>
        <w:t>2005, N 11, ст. 1080; 2007, N 6, ст. 700; 2008, N 10, ст. 1160; 2009, N 6, ст. 598, 609; 2010, N 11, ст. 1365; 2011, N 7, ст. 995; N 10, ст. 1554; 2012, N 10, ст. 1733; N 11, ст. 1934; 2013, N 2, ст. 194; N 10, ст. 1736, 1740;</w:t>
      </w:r>
      <w:proofErr w:type="gramEnd"/>
      <w:r w:rsidRPr="001F7E13">
        <w:rPr>
          <w:rFonts w:ascii="Times New Roman" w:hAnsi="Times New Roman" w:cs="Times New Roman"/>
          <w:sz w:val="24"/>
          <w:szCs w:val="24"/>
        </w:rPr>
        <w:t xml:space="preserve"> </w:t>
      </w:r>
      <w:proofErr w:type="gramStart"/>
      <w:r w:rsidRPr="001F7E13">
        <w:rPr>
          <w:rFonts w:ascii="Times New Roman" w:hAnsi="Times New Roman" w:cs="Times New Roman"/>
          <w:sz w:val="24"/>
          <w:szCs w:val="24"/>
        </w:rPr>
        <w:t>N 11, ст. 2013; 2014, N 3, ст. 320; N 7, ст. 1201, 1203; N 10, ст. 1748; 2015, N 10, ст. 1866, 1873; Официальный интернет-портал правовой информации (www.pravo.gov.ru), 2016, 28 июля, N 1000201607280012) следующие изменения:</w:t>
      </w:r>
      <w:proofErr w:type="gramEnd"/>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 xml:space="preserve">1) в </w:t>
      </w:r>
      <w:hyperlink r:id="rId6" w:history="1">
        <w:r w:rsidRPr="001F7E13">
          <w:rPr>
            <w:rFonts w:ascii="Times New Roman" w:hAnsi="Times New Roman" w:cs="Times New Roman"/>
            <w:sz w:val="24"/>
            <w:szCs w:val="24"/>
          </w:rPr>
          <w:t>статье 1</w:t>
        </w:r>
      </w:hyperlink>
      <w:r w:rsidRPr="001F7E13">
        <w:rPr>
          <w:rFonts w:ascii="Times New Roman" w:hAnsi="Times New Roman" w:cs="Times New Roman"/>
          <w:sz w:val="24"/>
          <w:szCs w:val="24"/>
        </w:rPr>
        <w:t>:</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а) дополнить пунктом 2 следующего содержания:</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"2) 10 процентов - для следующих налогоплательщиков:</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резидентов территорий опережающего социально-экономического развития в отношении прибыли, полученной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в течение пяти налоговых периодов, следующих после налоговых периодов, указанных в пункте 1 настоящей статьи;</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организаций, являющихся участниками региональных инвестиционных проектов (далее - участники региональных инвестиционных проектов), в течение пяти налоговых периодов начиная с налогового периода, в котором в соответствии с данными налогового учета были признаны первые доходы от реализации товаров, произведенных в результате реализации регионального инвестиционного проекта</w:t>
      </w:r>
      <w:proofErr w:type="gramStart"/>
      <w:r w:rsidRPr="001F7E13">
        <w:rPr>
          <w:rFonts w:ascii="Times New Roman" w:hAnsi="Times New Roman" w:cs="Times New Roman"/>
          <w:sz w:val="24"/>
          <w:szCs w:val="24"/>
        </w:rPr>
        <w:t>;"</w:t>
      </w:r>
      <w:proofErr w:type="gramEnd"/>
      <w:r w:rsidRPr="001F7E13">
        <w:rPr>
          <w:rFonts w:ascii="Times New Roman" w:hAnsi="Times New Roman" w:cs="Times New Roman"/>
          <w:sz w:val="24"/>
          <w:szCs w:val="24"/>
        </w:rPr>
        <w:t>;</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 xml:space="preserve">б) </w:t>
      </w:r>
      <w:hyperlink r:id="rId7" w:history="1">
        <w:r w:rsidRPr="001F7E13">
          <w:rPr>
            <w:rFonts w:ascii="Times New Roman" w:hAnsi="Times New Roman" w:cs="Times New Roman"/>
            <w:sz w:val="24"/>
            <w:szCs w:val="24"/>
          </w:rPr>
          <w:t>дополнить</w:t>
        </w:r>
      </w:hyperlink>
      <w:r w:rsidRPr="001F7E13">
        <w:rPr>
          <w:rFonts w:ascii="Times New Roman" w:hAnsi="Times New Roman" w:cs="Times New Roman"/>
          <w:sz w:val="24"/>
          <w:szCs w:val="24"/>
        </w:rPr>
        <w:t xml:space="preserve"> пунктом 3 следующего содержания:</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"3) 13,5 процента - для следующих налогоплательщиков:</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организаций, реализующих инвестиционные проекты в соответствии с законодательством Республики Карелия, на срок окупаемости инвестиционного проекта, но не свыше пяти лет, при условии, что их выручка от реализации товаров (работ, услуг) собственного производства в рамках реализации инвестиционного проекта составляет не менее 75 процентов общей суммы выручки от реализации товаров (работ, услуг);</w:t>
      </w:r>
    </w:p>
    <w:p w:rsidR="001F7E13" w:rsidRPr="001F7E13" w:rsidRDefault="001F7E13">
      <w:pPr>
        <w:pStyle w:val="ConsPlusNormal"/>
        <w:ind w:firstLine="540"/>
        <w:jc w:val="both"/>
        <w:rPr>
          <w:rFonts w:ascii="Times New Roman" w:hAnsi="Times New Roman" w:cs="Times New Roman"/>
          <w:sz w:val="24"/>
          <w:szCs w:val="24"/>
        </w:rPr>
      </w:pPr>
      <w:proofErr w:type="gramStart"/>
      <w:r w:rsidRPr="001F7E13">
        <w:rPr>
          <w:rFonts w:ascii="Times New Roman" w:hAnsi="Times New Roman" w:cs="Times New Roman"/>
          <w:sz w:val="24"/>
          <w:szCs w:val="24"/>
        </w:rPr>
        <w:t>организаций, реализующих приоритетные инвестиционные проекты в соответствии с законодательством Республики Карелия, на срок окупаемости приоритетного инвестиционного проекта, но не свыше семи лет, при условии, что их выручка от реализации товаров (работ, услуг) собственного производства в рамках реализации приоритетного инвестиционного проекта составляет не менее 75 процентов общей суммы выручки от реализации товаров (работ, услуг);</w:t>
      </w:r>
      <w:proofErr w:type="gramEnd"/>
    </w:p>
    <w:p w:rsidR="001F7E13" w:rsidRPr="001F7E13" w:rsidRDefault="001F7E13">
      <w:pPr>
        <w:pStyle w:val="ConsPlusNormal"/>
        <w:ind w:firstLine="540"/>
        <w:jc w:val="both"/>
        <w:rPr>
          <w:rFonts w:ascii="Times New Roman" w:hAnsi="Times New Roman" w:cs="Times New Roman"/>
          <w:sz w:val="24"/>
          <w:szCs w:val="24"/>
        </w:rPr>
      </w:pPr>
      <w:proofErr w:type="gramStart"/>
      <w:r w:rsidRPr="001F7E13">
        <w:rPr>
          <w:rFonts w:ascii="Times New Roman" w:hAnsi="Times New Roman" w:cs="Times New Roman"/>
          <w:sz w:val="24"/>
          <w:szCs w:val="24"/>
        </w:rPr>
        <w:lastRenderedPageBreak/>
        <w:t xml:space="preserve">организаций, осуществляющих деятельность на территории Республики Карелия, исчисливших по итогам предыдущего налогового периода налоговую базу по налогу на прибыль организаций (далее в настоящей статье - налоговая база), облагаемую по ставке налога, установленной </w:t>
      </w:r>
      <w:hyperlink r:id="rId8" w:history="1">
        <w:r w:rsidRPr="001F7E13">
          <w:rPr>
            <w:rFonts w:ascii="Times New Roman" w:hAnsi="Times New Roman" w:cs="Times New Roman"/>
            <w:sz w:val="24"/>
            <w:szCs w:val="24"/>
          </w:rPr>
          <w:t>пунктом 1 статьи 284</w:t>
        </w:r>
      </w:hyperlink>
      <w:r w:rsidRPr="001F7E13">
        <w:rPr>
          <w:rFonts w:ascii="Times New Roman" w:hAnsi="Times New Roman" w:cs="Times New Roman"/>
          <w:sz w:val="24"/>
          <w:szCs w:val="24"/>
        </w:rPr>
        <w:t xml:space="preserve"> Налогового кодекса Российской Федерации, сверх налоговой базы налогового периода, предшествующего предыдущему, увеличенной на норматив, установленный в соответствии с утвержденным Правительством Республики Карелия порядком, а также</w:t>
      </w:r>
      <w:proofErr w:type="gramEnd"/>
      <w:r w:rsidRPr="001F7E13">
        <w:rPr>
          <w:rFonts w:ascii="Times New Roman" w:hAnsi="Times New Roman" w:cs="Times New Roman"/>
          <w:sz w:val="24"/>
          <w:szCs w:val="24"/>
        </w:rPr>
        <w:t xml:space="preserve"> сохранивших в предыдущем налоговом периоде среднесписочную численность работающих и выручку от реализации произведенной ими продукции (работ, услуг) не ниже показателей налогового периода, предшествующего предыдущему. </w:t>
      </w:r>
      <w:proofErr w:type="gramStart"/>
      <w:r w:rsidRPr="001F7E13">
        <w:rPr>
          <w:rFonts w:ascii="Times New Roman" w:hAnsi="Times New Roman" w:cs="Times New Roman"/>
          <w:sz w:val="24"/>
          <w:szCs w:val="24"/>
        </w:rPr>
        <w:t>Налоговая база определяется с учетом заявленного налогоплательщиком переноса ранее полученных убытков;</w:t>
      </w:r>
      <w:proofErr w:type="gramEnd"/>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общественных организаций инвалидов, а также организаций, использующих труд инвалидов, если от общего числа работников в таких организациях инвалиды составляют не менее 50 процентов и доля расходов на оплату труда инвалидов в расходах на оплату труда составляет не менее 25 процентов;</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участников региональных инвестиционных проектов в течение пяти налоговых периодов, следующих после налоговых периодов, указанных в абзаце третьем пункта 2 настоящей статьи.</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При наличии в соответствии с настоящим Законом у организации, реализующей инвестиционный и (или) приоритетный инвестиционный проект в соответствии с законодательством Республики Карелия, нескольких оснований для применения пониженных ставок по налогу на прибыль организаций, зачисляемому в бюджет Республики Карелия, размер пониженной ставки определяется по одному из оснований по выбору указанной организации</w:t>
      </w:r>
      <w:proofErr w:type="gramStart"/>
      <w:r w:rsidRPr="001F7E13">
        <w:rPr>
          <w:rFonts w:ascii="Times New Roman" w:hAnsi="Times New Roman" w:cs="Times New Roman"/>
          <w:sz w:val="24"/>
          <w:szCs w:val="24"/>
        </w:rPr>
        <w:t>;"</w:t>
      </w:r>
      <w:proofErr w:type="gramEnd"/>
      <w:r w:rsidRPr="001F7E13">
        <w:rPr>
          <w:rFonts w:ascii="Times New Roman" w:hAnsi="Times New Roman" w:cs="Times New Roman"/>
          <w:sz w:val="24"/>
          <w:szCs w:val="24"/>
        </w:rPr>
        <w:t>;</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 xml:space="preserve">2) в </w:t>
      </w:r>
      <w:hyperlink r:id="rId9" w:history="1">
        <w:r w:rsidRPr="001F7E13">
          <w:rPr>
            <w:rFonts w:ascii="Times New Roman" w:hAnsi="Times New Roman" w:cs="Times New Roman"/>
            <w:sz w:val="24"/>
            <w:szCs w:val="24"/>
          </w:rPr>
          <w:t>статье 3</w:t>
        </w:r>
      </w:hyperlink>
      <w:r w:rsidRPr="001F7E13">
        <w:rPr>
          <w:rFonts w:ascii="Times New Roman" w:hAnsi="Times New Roman" w:cs="Times New Roman"/>
          <w:sz w:val="24"/>
          <w:szCs w:val="24"/>
        </w:rPr>
        <w:t>:</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 xml:space="preserve">а) </w:t>
      </w:r>
      <w:hyperlink r:id="rId10" w:history="1">
        <w:r w:rsidRPr="001F7E13">
          <w:rPr>
            <w:rFonts w:ascii="Times New Roman" w:hAnsi="Times New Roman" w:cs="Times New Roman"/>
            <w:sz w:val="24"/>
            <w:szCs w:val="24"/>
          </w:rPr>
          <w:t>пункт 2</w:t>
        </w:r>
      </w:hyperlink>
      <w:r w:rsidRPr="001F7E13">
        <w:rPr>
          <w:rFonts w:ascii="Times New Roman" w:hAnsi="Times New Roman" w:cs="Times New Roman"/>
          <w:sz w:val="24"/>
          <w:szCs w:val="24"/>
        </w:rPr>
        <w:t xml:space="preserve"> изложить в следующей редакции:</w:t>
      </w:r>
    </w:p>
    <w:p w:rsidR="001F7E13" w:rsidRPr="001F7E13" w:rsidRDefault="001F7E13">
      <w:pPr>
        <w:pStyle w:val="ConsPlusNormal"/>
        <w:ind w:firstLine="540"/>
        <w:jc w:val="both"/>
        <w:rPr>
          <w:rFonts w:ascii="Times New Roman" w:hAnsi="Times New Roman" w:cs="Times New Roman"/>
          <w:sz w:val="24"/>
          <w:szCs w:val="24"/>
        </w:rPr>
      </w:pPr>
      <w:proofErr w:type="gramStart"/>
      <w:r w:rsidRPr="001F7E13">
        <w:rPr>
          <w:rFonts w:ascii="Times New Roman" w:hAnsi="Times New Roman" w:cs="Times New Roman"/>
          <w:sz w:val="24"/>
          <w:szCs w:val="24"/>
        </w:rPr>
        <w:t>"2) 0,1 процента - для организаций, занимающихся производством сельскохозяйственной продукции, крестьянских (фермерских) хозяйств (за исключением организаций по виду деятельности "Рыболовство, рыбоводство") при условии, что выручка от реализации произведенной ими продукции (работ, услуг) от основной деятельности составляет не менее 70 процентов общей суммы выручки от реализации продукции (работ, услуг);";</w:t>
      </w:r>
      <w:proofErr w:type="gramEnd"/>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 xml:space="preserve">б) </w:t>
      </w:r>
      <w:hyperlink r:id="rId11" w:history="1">
        <w:r w:rsidRPr="001F7E13">
          <w:rPr>
            <w:rFonts w:ascii="Times New Roman" w:hAnsi="Times New Roman" w:cs="Times New Roman"/>
            <w:sz w:val="24"/>
            <w:szCs w:val="24"/>
          </w:rPr>
          <w:t>абзац второй пункта 3</w:t>
        </w:r>
      </w:hyperlink>
      <w:r w:rsidRPr="001F7E13">
        <w:rPr>
          <w:rFonts w:ascii="Times New Roman" w:hAnsi="Times New Roman" w:cs="Times New Roman"/>
          <w:sz w:val="24"/>
          <w:szCs w:val="24"/>
        </w:rPr>
        <w:t xml:space="preserve"> признать утратившим силу;</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 xml:space="preserve">в) в </w:t>
      </w:r>
      <w:hyperlink r:id="rId12" w:history="1">
        <w:r w:rsidRPr="001F7E13">
          <w:rPr>
            <w:rFonts w:ascii="Times New Roman" w:hAnsi="Times New Roman" w:cs="Times New Roman"/>
            <w:sz w:val="24"/>
            <w:szCs w:val="24"/>
          </w:rPr>
          <w:t>пункте 5</w:t>
        </w:r>
      </w:hyperlink>
      <w:r w:rsidRPr="001F7E13">
        <w:rPr>
          <w:rFonts w:ascii="Times New Roman" w:hAnsi="Times New Roman" w:cs="Times New Roman"/>
          <w:sz w:val="24"/>
          <w:szCs w:val="24"/>
        </w:rPr>
        <w:t>:</w:t>
      </w:r>
    </w:p>
    <w:p w:rsidR="001F7E13" w:rsidRPr="001F7E13" w:rsidRDefault="001F7E13">
      <w:pPr>
        <w:pStyle w:val="ConsPlusNormal"/>
        <w:ind w:firstLine="540"/>
        <w:jc w:val="both"/>
        <w:rPr>
          <w:rFonts w:ascii="Times New Roman" w:hAnsi="Times New Roman" w:cs="Times New Roman"/>
          <w:sz w:val="24"/>
          <w:szCs w:val="24"/>
        </w:rPr>
      </w:pPr>
      <w:hyperlink r:id="rId13" w:history="1">
        <w:r w:rsidRPr="001F7E13">
          <w:rPr>
            <w:rFonts w:ascii="Times New Roman" w:hAnsi="Times New Roman" w:cs="Times New Roman"/>
            <w:sz w:val="24"/>
            <w:szCs w:val="24"/>
          </w:rPr>
          <w:t>абзацы второй</w:t>
        </w:r>
      </w:hyperlink>
      <w:r w:rsidRPr="001F7E13">
        <w:rPr>
          <w:rFonts w:ascii="Times New Roman" w:hAnsi="Times New Roman" w:cs="Times New Roman"/>
          <w:sz w:val="24"/>
          <w:szCs w:val="24"/>
        </w:rPr>
        <w:t xml:space="preserve">, </w:t>
      </w:r>
      <w:hyperlink r:id="rId14" w:history="1">
        <w:r w:rsidRPr="001F7E13">
          <w:rPr>
            <w:rFonts w:ascii="Times New Roman" w:hAnsi="Times New Roman" w:cs="Times New Roman"/>
            <w:sz w:val="24"/>
            <w:szCs w:val="24"/>
          </w:rPr>
          <w:t>третий</w:t>
        </w:r>
      </w:hyperlink>
      <w:r w:rsidRPr="001F7E13">
        <w:rPr>
          <w:rFonts w:ascii="Times New Roman" w:hAnsi="Times New Roman" w:cs="Times New Roman"/>
          <w:sz w:val="24"/>
          <w:szCs w:val="24"/>
        </w:rPr>
        <w:t xml:space="preserve"> и </w:t>
      </w:r>
      <w:hyperlink r:id="rId15" w:history="1">
        <w:r w:rsidRPr="001F7E13">
          <w:rPr>
            <w:rFonts w:ascii="Times New Roman" w:hAnsi="Times New Roman" w:cs="Times New Roman"/>
            <w:sz w:val="24"/>
            <w:szCs w:val="24"/>
          </w:rPr>
          <w:t>шестой</w:t>
        </w:r>
      </w:hyperlink>
      <w:r w:rsidRPr="001F7E13">
        <w:rPr>
          <w:rFonts w:ascii="Times New Roman" w:hAnsi="Times New Roman" w:cs="Times New Roman"/>
          <w:sz w:val="24"/>
          <w:szCs w:val="24"/>
        </w:rPr>
        <w:t xml:space="preserve"> признать утратившими силу;</w:t>
      </w:r>
    </w:p>
    <w:p w:rsidR="001F7E13" w:rsidRPr="001F7E13" w:rsidRDefault="001F7E13">
      <w:pPr>
        <w:pStyle w:val="ConsPlusNormal"/>
        <w:ind w:firstLine="540"/>
        <w:jc w:val="both"/>
        <w:rPr>
          <w:rFonts w:ascii="Times New Roman" w:hAnsi="Times New Roman" w:cs="Times New Roman"/>
          <w:sz w:val="24"/>
          <w:szCs w:val="24"/>
        </w:rPr>
      </w:pPr>
      <w:hyperlink r:id="rId16" w:history="1">
        <w:r w:rsidRPr="001F7E13">
          <w:rPr>
            <w:rFonts w:ascii="Times New Roman" w:hAnsi="Times New Roman" w:cs="Times New Roman"/>
            <w:sz w:val="24"/>
            <w:szCs w:val="24"/>
          </w:rPr>
          <w:t>дополнить</w:t>
        </w:r>
      </w:hyperlink>
      <w:r w:rsidRPr="001F7E13">
        <w:rPr>
          <w:rFonts w:ascii="Times New Roman" w:hAnsi="Times New Roman" w:cs="Times New Roman"/>
          <w:sz w:val="24"/>
          <w:szCs w:val="24"/>
        </w:rPr>
        <w:t xml:space="preserve"> абзацем седьмым следующего содержания:</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"организаций, применяющих упрощенную систему налогообложения в отношении объектов недвижимого имущества, налоговая база по которым определяется как их кадастровая стоимость</w:t>
      </w:r>
      <w:proofErr w:type="gramStart"/>
      <w:r w:rsidRPr="001F7E13">
        <w:rPr>
          <w:rFonts w:ascii="Times New Roman" w:hAnsi="Times New Roman" w:cs="Times New Roman"/>
          <w:sz w:val="24"/>
          <w:szCs w:val="24"/>
        </w:rPr>
        <w:t>;"</w:t>
      </w:r>
      <w:proofErr w:type="gramEnd"/>
      <w:r w:rsidRPr="001F7E13">
        <w:rPr>
          <w:rFonts w:ascii="Times New Roman" w:hAnsi="Times New Roman" w:cs="Times New Roman"/>
          <w:sz w:val="24"/>
          <w:szCs w:val="24"/>
        </w:rPr>
        <w:t>;</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 xml:space="preserve">г) </w:t>
      </w:r>
      <w:hyperlink r:id="rId17" w:history="1">
        <w:r w:rsidRPr="001F7E13">
          <w:rPr>
            <w:rFonts w:ascii="Times New Roman" w:hAnsi="Times New Roman" w:cs="Times New Roman"/>
            <w:sz w:val="24"/>
            <w:szCs w:val="24"/>
          </w:rPr>
          <w:t>пункт 6</w:t>
        </w:r>
      </w:hyperlink>
      <w:r w:rsidRPr="001F7E13">
        <w:rPr>
          <w:rFonts w:ascii="Times New Roman" w:hAnsi="Times New Roman" w:cs="Times New Roman"/>
          <w:sz w:val="24"/>
          <w:szCs w:val="24"/>
        </w:rPr>
        <w:t xml:space="preserve"> признать утратившим силу;</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 xml:space="preserve">д) </w:t>
      </w:r>
      <w:hyperlink r:id="rId18" w:history="1">
        <w:r w:rsidRPr="001F7E13">
          <w:rPr>
            <w:rFonts w:ascii="Times New Roman" w:hAnsi="Times New Roman" w:cs="Times New Roman"/>
            <w:sz w:val="24"/>
            <w:szCs w:val="24"/>
          </w:rPr>
          <w:t>абзац третий пункта 7</w:t>
        </w:r>
      </w:hyperlink>
      <w:r w:rsidRPr="001F7E13">
        <w:rPr>
          <w:rFonts w:ascii="Times New Roman" w:hAnsi="Times New Roman" w:cs="Times New Roman"/>
          <w:sz w:val="24"/>
          <w:szCs w:val="24"/>
        </w:rPr>
        <w:t xml:space="preserve"> признать утратившим силу;</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 xml:space="preserve">е) </w:t>
      </w:r>
      <w:hyperlink r:id="rId19" w:history="1">
        <w:r w:rsidRPr="001F7E13">
          <w:rPr>
            <w:rFonts w:ascii="Times New Roman" w:hAnsi="Times New Roman" w:cs="Times New Roman"/>
            <w:sz w:val="24"/>
            <w:szCs w:val="24"/>
          </w:rPr>
          <w:t>дополнить</w:t>
        </w:r>
      </w:hyperlink>
      <w:r w:rsidRPr="001F7E13">
        <w:rPr>
          <w:rFonts w:ascii="Times New Roman" w:hAnsi="Times New Roman" w:cs="Times New Roman"/>
          <w:sz w:val="24"/>
          <w:szCs w:val="24"/>
        </w:rPr>
        <w:t xml:space="preserve"> пунктом 7.2 следующего содержания:</w:t>
      </w:r>
    </w:p>
    <w:p w:rsidR="001F7E13" w:rsidRPr="001F7E13" w:rsidRDefault="001F7E13">
      <w:pPr>
        <w:pStyle w:val="ConsPlusNormal"/>
        <w:ind w:firstLine="540"/>
        <w:jc w:val="both"/>
        <w:rPr>
          <w:rFonts w:ascii="Times New Roman" w:hAnsi="Times New Roman" w:cs="Times New Roman"/>
          <w:sz w:val="24"/>
          <w:szCs w:val="24"/>
        </w:rPr>
      </w:pPr>
      <w:proofErr w:type="gramStart"/>
      <w:r w:rsidRPr="001F7E13">
        <w:rPr>
          <w:rFonts w:ascii="Times New Roman" w:hAnsi="Times New Roman" w:cs="Times New Roman"/>
          <w:sz w:val="24"/>
          <w:szCs w:val="24"/>
        </w:rPr>
        <w:t>"7.2) 1 процент - для бюджетных и автономных учреждений, получающих из бюджета Республики Карелия или местных бюджетов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казенных учреждений, финансовое обеспечение деятельности которых осуществляется за счет средств бюджета Республики Карелия или местных бюджетов, - в отношении объектов социально-культурной сферы, используемых ими для</w:t>
      </w:r>
      <w:proofErr w:type="gramEnd"/>
      <w:r w:rsidRPr="001F7E13">
        <w:rPr>
          <w:rFonts w:ascii="Times New Roman" w:hAnsi="Times New Roman" w:cs="Times New Roman"/>
          <w:sz w:val="24"/>
          <w:szCs w:val="24"/>
        </w:rPr>
        <w:t xml:space="preserve"> нужд культуры и искусства, образования, физической культуры и спорта, здравоохранения и социального обслуживания населения, с 1 января 2017 года по 31 декабря 2017 года</w:t>
      </w:r>
      <w:proofErr w:type="gramStart"/>
      <w:r w:rsidRPr="001F7E13">
        <w:rPr>
          <w:rFonts w:ascii="Times New Roman" w:hAnsi="Times New Roman" w:cs="Times New Roman"/>
          <w:sz w:val="24"/>
          <w:szCs w:val="24"/>
        </w:rPr>
        <w:t>;"</w:t>
      </w:r>
      <w:proofErr w:type="gramEnd"/>
      <w:r w:rsidRPr="001F7E13">
        <w:rPr>
          <w:rFonts w:ascii="Times New Roman" w:hAnsi="Times New Roman" w:cs="Times New Roman"/>
          <w:sz w:val="24"/>
          <w:szCs w:val="24"/>
        </w:rPr>
        <w:t>;</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 xml:space="preserve">ж) </w:t>
      </w:r>
      <w:hyperlink r:id="rId20" w:history="1">
        <w:r w:rsidRPr="001F7E13">
          <w:rPr>
            <w:rFonts w:ascii="Times New Roman" w:hAnsi="Times New Roman" w:cs="Times New Roman"/>
            <w:sz w:val="24"/>
            <w:szCs w:val="24"/>
          </w:rPr>
          <w:t>пункт 8</w:t>
        </w:r>
      </w:hyperlink>
      <w:r w:rsidRPr="001F7E13">
        <w:rPr>
          <w:rFonts w:ascii="Times New Roman" w:hAnsi="Times New Roman" w:cs="Times New Roman"/>
          <w:sz w:val="24"/>
          <w:szCs w:val="24"/>
        </w:rPr>
        <w:t xml:space="preserve"> изложить в следующей редакции:</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lastRenderedPageBreak/>
        <w:t>"8) 1,2 процента - для следующих налогоплательщиков:</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организаций - в отношении имущества, используемого ими при организации питания в образовательных организациях;</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организаций городского наземного электрического транспорта при условии, что выручка от реализации услуг указанного вида деятельности составляет не менее 50 процентов общей суммы выручки от реализации продукции (работ, услуг)</w:t>
      </w:r>
      <w:proofErr w:type="gramStart"/>
      <w:r w:rsidRPr="001F7E13">
        <w:rPr>
          <w:rFonts w:ascii="Times New Roman" w:hAnsi="Times New Roman" w:cs="Times New Roman"/>
          <w:sz w:val="24"/>
          <w:szCs w:val="24"/>
        </w:rPr>
        <w:t>;"</w:t>
      </w:r>
      <w:proofErr w:type="gramEnd"/>
      <w:r w:rsidRPr="001F7E13">
        <w:rPr>
          <w:rFonts w:ascii="Times New Roman" w:hAnsi="Times New Roman" w:cs="Times New Roman"/>
          <w:sz w:val="24"/>
          <w:szCs w:val="24"/>
        </w:rPr>
        <w:t>;</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 xml:space="preserve">з) </w:t>
      </w:r>
      <w:hyperlink r:id="rId21" w:history="1">
        <w:r w:rsidRPr="001F7E13">
          <w:rPr>
            <w:rFonts w:ascii="Times New Roman" w:hAnsi="Times New Roman" w:cs="Times New Roman"/>
            <w:sz w:val="24"/>
            <w:szCs w:val="24"/>
          </w:rPr>
          <w:t>пункт 8.1</w:t>
        </w:r>
      </w:hyperlink>
      <w:r w:rsidRPr="001F7E13">
        <w:rPr>
          <w:rFonts w:ascii="Times New Roman" w:hAnsi="Times New Roman" w:cs="Times New Roman"/>
          <w:sz w:val="24"/>
          <w:szCs w:val="24"/>
        </w:rPr>
        <w:t xml:space="preserve"> изложить в следующей редакции:</w:t>
      </w:r>
    </w:p>
    <w:p w:rsidR="001F7E13" w:rsidRPr="001F7E13" w:rsidRDefault="001F7E13">
      <w:pPr>
        <w:pStyle w:val="ConsPlusNormal"/>
        <w:ind w:firstLine="540"/>
        <w:jc w:val="both"/>
        <w:rPr>
          <w:rFonts w:ascii="Times New Roman" w:hAnsi="Times New Roman" w:cs="Times New Roman"/>
          <w:sz w:val="24"/>
          <w:szCs w:val="24"/>
        </w:rPr>
      </w:pPr>
      <w:proofErr w:type="gramStart"/>
      <w:r w:rsidRPr="001F7E13">
        <w:rPr>
          <w:rFonts w:ascii="Times New Roman" w:hAnsi="Times New Roman" w:cs="Times New Roman"/>
          <w:sz w:val="24"/>
          <w:szCs w:val="24"/>
        </w:rPr>
        <w:t>"8.1) 1,5 процента - для бюджетных и автономных учреждений, получающих из бюджета Республики Карелия или местных бюджетов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казенных учреждений, финансовое обеспечение деятельности которых осуществляется за счет средств бюджета Республики Карелия или местных бюджетов, - в отношении объектов социально-культурной сферы, используемых ими для</w:t>
      </w:r>
      <w:proofErr w:type="gramEnd"/>
      <w:r w:rsidRPr="001F7E13">
        <w:rPr>
          <w:rFonts w:ascii="Times New Roman" w:hAnsi="Times New Roman" w:cs="Times New Roman"/>
          <w:sz w:val="24"/>
          <w:szCs w:val="24"/>
        </w:rPr>
        <w:t xml:space="preserve"> нужд культуры и искусства, образования, физической культуры и спорта, здравоохранения и социального обслуживания населения, с 1 января 2018 года по 31 декабря 2018 года</w:t>
      </w:r>
      <w:proofErr w:type="gramStart"/>
      <w:r w:rsidRPr="001F7E13">
        <w:rPr>
          <w:rFonts w:ascii="Times New Roman" w:hAnsi="Times New Roman" w:cs="Times New Roman"/>
          <w:sz w:val="24"/>
          <w:szCs w:val="24"/>
        </w:rPr>
        <w:t>;"</w:t>
      </w:r>
      <w:proofErr w:type="gramEnd"/>
      <w:r w:rsidRPr="001F7E13">
        <w:rPr>
          <w:rFonts w:ascii="Times New Roman" w:hAnsi="Times New Roman" w:cs="Times New Roman"/>
          <w:sz w:val="24"/>
          <w:szCs w:val="24"/>
        </w:rPr>
        <w:t>;</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 xml:space="preserve">и) в </w:t>
      </w:r>
      <w:hyperlink r:id="rId22" w:history="1">
        <w:r w:rsidRPr="001F7E13">
          <w:rPr>
            <w:rFonts w:ascii="Times New Roman" w:hAnsi="Times New Roman" w:cs="Times New Roman"/>
            <w:sz w:val="24"/>
            <w:szCs w:val="24"/>
          </w:rPr>
          <w:t>пункте 9</w:t>
        </w:r>
      </w:hyperlink>
      <w:r w:rsidRPr="001F7E13">
        <w:rPr>
          <w:rFonts w:ascii="Times New Roman" w:hAnsi="Times New Roman" w:cs="Times New Roman"/>
          <w:sz w:val="24"/>
          <w:szCs w:val="24"/>
        </w:rPr>
        <w:t>:</w:t>
      </w:r>
    </w:p>
    <w:p w:rsidR="001F7E13" w:rsidRPr="001F7E13" w:rsidRDefault="001F7E13">
      <w:pPr>
        <w:pStyle w:val="ConsPlusNormal"/>
        <w:ind w:firstLine="540"/>
        <w:jc w:val="both"/>
        <w:rPr>
          <w:rFonts w:ascii="Times New Roman" w:hAnsi="Times New Roman" w:cs="Times New Roman"/>
          <w:sz w:val="24"/>
          <w:szCs w:val="24"/>
        </w:rPr>
      </w:pPr>
      <w:hyperlink r:id="rId23" w:history="1">
        <w:r w:rsidRPr="001F7E13">
          <w:rPr>
            <w:rFonts w:ascii="Times New Roman" w:hAnsi="Times New Roman" w:cs="Times New Roman"/>
            <w:sz w:val="24"/>
            <w:szCs w:val="24"/>
          </w:rPr>
          <w:t>абзац второй</w:t>
        </w:r>
      </w:hyperlink>
      <w:r w:rsidRPr="001F7E13">
        <w:rPr>
          <w:rFonts w:ascii="Times New Roman" w:hAnsi="Times New Roman" w:cs="Times New Roman"/>
          <w:sz w:val="24"/>
          <w:szCs w:val="24"/>
        </w:rPr>
        <w:t xml:space="preserve"> признать утратившим силу;</w:t>
      </w:r>
    </w:p>
    <w:p w:rsidR="001F7E13" w:rsidRPr="001F7E13" w:rsidRDefault="001F7E13">
      <w:pPr>
        <w:pStyle w:val="ConsPlusNormal"/>
        <w:ind w:firstLine="540"/>
        <w:jc w:val="both"/>
        <w:rPr>
          <w:rFonts w:ascii="Times New Roman" w:hAnsi="Times New Roman" w:cs="Times New Roman"/>
          <w:sz w:val="24"/>
          <w:szCs w:val="24"/>
        </w:rPr>
      </w:pPr>
      <w:hyperlink r:id="rId24" w:history="1">
        <w:r w:rsidRPr="001F7E13">
          <w:rPr>
            <w:rFonts w:ascii="Times New Roman" w:hAnsi="Times New Roman" w:cs="Times New Roman"/>
            <w:sz w:val="24"/>
            <w:szCs w:val="24"/>
          </w:rPr>
          <w:t>дополнить</w:t>
        </w:r>
      </w:hyperlink>
      <w:r w:rsidRPr="001F7E13">
        <w:rPr>
          <w:rFonts w:ascii="Times New Roman" w:hAnsi="Times New Roman" w:cs="Times New Roman"/>
          <w:sz w:val="24"/>
          <w:szCs w:val="24"/>
        </w:rPr>
        <w:t xml:space="preserve"> абзацами четвертым и пятым следующего содержания:</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"организаций, занимающихся лесозаготовками, при условии, что выручка от реализации произведенной ими продукции от указанного вида деятельности составляет не менее 50 процентов общей суммы выручки от реализации продукции (работ, услуг);</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организаций, занимающихся обработкой древесины и производством изделий из дерева, при условии, что выручка от реализации произведенной ими продукции от указанного вида деятельности составляет не менее 50 процентов общей суммы выручки от реализации продукции (работ, услуг)</w:t>
      </w:r>
      <w:proofErr w:type="gramStart"/>
      <w:r w:rsidRPr="001F7E13">
        <w:rPr>
          <w:rFonts w:ascii="Times New Roman" w:hAnsi="Times New Roman" w:cs="Times New Roman"/>
          <w:sz w:val="24"/>
          <w:szCs w:val="24"/>
        </w:rPr>
        <w:t>;"</w:t>
      </w:r>
      <w:proofErr w:type="gramEnd"/>
      <w:r w:rsidRPr="001F7E13">
        <w:rPr>
          <w:rFonts w:ascii="Times New Roman" w:hAnsi="Times New Roman" w:cs="Times New Roman"/>
          <w:sz w:val="24"/>
          <w:szCs w:val="24"/>
        </w:rPr>
        <w:t>;</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 xml:space="preserve">к) </w:t>
      </w:r>
      <w:hyperlink r:id="rId25" w:history="1">
        <w:r w:rsidRPr="001F7E13">
          <w:rPr>
            <w:rFonts w:ascii="Times New Roman" w:hAnsi="Times New Roman" w:cs="Times New Roman"/>
            <w:sz w:val="24"/>
            <w:szCs w:val="24"/>
          </w:rPr>
          <w:t>дополнить</w:t>
        </w:r>
      </w:hyperlink>
      <w:r w:rsidRPr="001F7E13">
        <w:rPr>
          <w:rFonts w:ascii="Times New Roman" w:hAnsi="Times New Roman" w:cs="Times New Roman"/>
          <w:sz w:val="24"/>
          <w:szCs w:val="24"/>
        </w:rPr>
        <w:t xml:space="preserve"> пунктом 9.1 следующего содержания:</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"9.1) 2 процента - для организаций - в отношении объектов недвижимого имущества, налоговая база по которым определяется как их кадастровая стоимость, за исключением организаций, указанных в абзаце седьмом пункта 5 настоящей статьи</w:t>
      </w:r>
      <w:proofErr w:type="gramStart"/>
      <w:r w:rsidRPr="001F7E13">
        <w:rPr>
          <w:rFonts w:ascii="Times New Roman" w:hAnsi="Times New Roman" w:cs="Times New Roman"/>
          <w:sz w:val="24"/>
          <w:szCs w:val="24"/>
        </w:rPr>
        <w:t>;"</w:t>
      </w:r>
      <w:proofErr w:type="gramEnd"/>
      <w:r w:rsidRPr="001F7E13">
        <w:rPr>
          <w:rFonts w:ascii="Times New Roman" w:hAnsi="Times New Roman" w:cs="Times New Roman"/>
          <w:sz w:val="24"/>
          <w:szCs w:val="24"/>
        </w:rPr>
        <w:t>;</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 xml:space="preserve">л) в </w:t>
      </w:r>
      <w:hyperlink r:id="rId26" w:history="1">
        <w:r w:rsidRPr="001F7E13">
          <w:rPr>
            <w:rFonts w:ascii="Times New Roman" w:hAnsi="Times New Roman" w:cs="Times New Roman"/>
            <w:sz w:val="24"/>
            <w:szCs w:val="24"/>
          </w:rPr>
          <w:t>пункте 10</w:t>
        </w:r>
      </w:hyperlink>
      <w:r w:rsidRPr="001F7E13">
        <w:rPr>
          <w:rFonts w:ascii="Times New Roman" w:hAnsi="Times New Roman" w:cs="Times New Roman"/>
          <w:sz w:val="24"/>
          <w:szCs w:val="24"/>
        </w:rPr>
        <w:t xml:space="preserve"> слова "в пунктах 1-8 и пункте 9" заменить словами "в пунктах 1-4, абзаце пятом пункта 5, пунктах 7-9";</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 xml:space="preserve">3) </w:t>
      </w:r>
      <w:hyperlink r:id="rId27" w:history="1">
        <w:r w:rsidRPr="001F7E13">
          <w:rPr>
            <w:rFonts w:ascii="Times New Roman" w:hAnsi="Times New Roman" w:cs="Times New Roman"/>
            <w:sz w:val="24"/>
            <w:szCs w:val="24"/>
          </w:rPr>
          <w:t>статью 3.1</w:t>
        </w:r>
      </w:hyperlink>
      <w:r w:rsidRPr="001F7E13">
        <w:rPr>
          <w:rFonts w:ascii="Times New Roman" w:hAnsi="Times New Roman" w:cs="Times New Roman"/>
          <w:sz w:val="24"/>
          <w:szCs w:val="24"/>
        </w:rPr>
        <w:t xml:space="preserve"> изложить в следующей редакции:</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"Статья 3.1. Налоговая база, указанная в абзаце седьмом пункта 5, в пункте 9.1 статьи 3 настоящего Закона, определяется в отношении:</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1) торговых центров (комплексов) и помещений в них общей площадью свыше 500 кв. метров;</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2) нежилых помещений общей площадью свыше 500 кв. метров,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торговых объектов, либо которые фактически используются для размещения торговых объектов;</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3)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в отношении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roofErr w:type="gramStart"/>
      <w:r w:rsidRPr="001F7E13">
        <w:rPr>
          <w:rFonts w:ascii="Times New Roman" w:hAnsi="Times New Roman" w:cs="Times New Roman"/>
          <w:sz w:val="24"/>
          <w:szCs w:val="24"/>
        </w:rPr>
        <w:t>.";</w:t>
      </w:r>
      <w:proofErr w:type="gramEnd"/>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 xml:space="preserve">4) в </w:t>
      </w:r>
      <w:hyperlink r:id="rId28" w:history="1">
        <w:r w:rsidRPr="001F7E13">
          <w:rPr>
            <w:rFonts w:ascii="Times New Roman" w:hAnsi="Times New Roman" w:cs="Times New Roman"/>
            <w:sz w:val="24"/>
            <w:szCs w:val="24"/>
          </w:rPr>
          <w:t>статье 6</w:t>
        </w:r>
      </w:hyperlink>
      <w:r w:rsidRPr="001F7E13">
        <w:rPr>
          <w:rFonts w:ascii="Times New Roman" w:hAnsi="Times New Roman" w:cs="Times New Roman"/>
          <w:sz w:val="24"/>
          <w:szCs w:val="24"/>
        </w:rPr>
        <w:t>:</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а) таблицу части первой изложить в следующей редакции:</w:t>
      </w:r>
    </w:p>
    <w:p w:rsidR="001F7E13" w:rsidRDefault="001F7E13">
      <w:pPr>
        <w:pStyle w:val="ConsPlusNormal"/>
        <w:jc w:val="both"/>
      </w:pPr>
    </w:p>
    <w:p w:rsidR="001F7E13" w:rsidRDefault="001F7E13">
      <w:pPr>
        <w:pStyle w:val="ConsPlusNormal"/>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587"/>
        <w:gridCol w:w="1474"/>
      </w:tblGrid>
      <w:tr w:rsidR="001F7E13">
        <w:tc>
          <w:tcPr>
            <w:tcW w:w="6009" w:type="dxa"/>
            <w:vMerge w:val="restart"/>
          </w:tcPr>
          <w:p w:rsidR="001F7E13" w:rsidRDefault="001F7E13">
            <w:pPr>
              <w:pStyle w:val="ConsPlusNormal"/>
              <w:jc w:val="center"/>
            </w:pPr>
            <w:r>
              <w:t>Наименование объекта налогообложения</w:t>
            </w:r>
          </w:p>
        </w:tc>
        <w:tc>
          <w:tcPr>
            <w:tcW w:w="3061" w:type="dxa"/>
            <w:gridSpan w:val="2"/>
            <w:vAlign w:val="center"/>
          </w:tcPr>
          <w:p w:rsidR="001F7E13" w:rsidRDefault="001F7E13">
            <w:pPr>
              <w:pStyle w:val="ConsPlusNormal"/>
              <w:jc w:val="center"/>
            </w:pPr>
            <w:r>
              <w:t>Налоговая ставка (в рублях)</w:t>
            </w:r>
          </w:p>
        </w:tc>
      </w:tr>
      <w:tr w:rsidR="001F7E13">
        <w:tc>
          <w:tcPr>
            <w:tcW w:w="6009" w:type="dxa"/>
            <w:vMerge/>
          </w:tcPr>
          <w:p w:rsidR="001F7E13" w:rsidRDefault="001F7E13"/>
        </w:tc>
        <w:tc>
          <w:tcPr>
            <w:tcW w:w="1587" w:type="dxa"/>
            <w:vAlign w:val="center"/>
          </w:tcPr>
          <w:p w:rsidR="001F7E13" w:rsidRDefault="001F7E13">
            <w:pPr>
              <w:pStyle w:val="ConsPlusNormal"/>
              <w:jc w:val="center"/>
            </w:pPr>
            <w:r>
              <w:t>с 1 января по 31 декабря 2017 года включительно</w:t>
            </w:r>
          </w:p>
        </w:tc>
        <w:tc>
          <w:tcPr>
            <w:tcW w:w="1474" w:type="dxa"/>
            <w:vAlign w:val="center"/>
          </w:tcPr>
          <w:p w:rsidR="001F7E13" w:rsidRDefault="001F7E13">
            <w:pPr>
              <w:pStyle w:val="ConsPlusNormal"/>
              <w:jc w:val="center"/>
            </w:pPr>
            <w:r>
              <w:t>с 1 января 2018 года</w:t>
            </w:r>
          </w:p>
        </w:tc>
      </w:tr>
      <w:tr w:rsidR="001F7E13">
        <w:tc>
          <w:tcPr>
            <w:tcW w:w="6009" w:type="dxa"/>
          </w:tcPr>
          <w:p w:rsidR="001F7E13" w:rsidRDefault="001F7E13">
            <w:pPr>
              <w:pStyle w:val="ConsPlusNormal"/>
              <w:jc w:val="both"/>
            </w:pPr>
            <w:r>
              <w:t>1. Автомобили легковые с мощностью двигателя (с каждой лошадиной силы):</w:t>
            </w:r>
          </w:p>
        </w:tc>
        <w:tc>
          <w:tcPr>
            <w:tcW w:w="1587" w:type="dxa"/>
            <w:tcBorders>
              <w:bottom w:val="nil"/>
            </w:tcBorders>
            <w:vAlign w:val="bottom"/>
          </w:tcPr>
          <w:p w:rsidR="001F7E13" w:rsidRDefault="001F7E13">
            <w:pPr>
              <w:pStyle w:val="ConsPlusNormal"/>
            </w:pPr>
          </w:p>
        </w:tc>
        <w:tc>
          <w:tcPr>
            <w:tcW w:w="1474" w:type="dxa"/>
            <w:tcBorders>
              <w:bottom w:val="nil"/>
            </w:tcBorders>
            <w:vAlign w:val="bottom"/>
          </w:tcPr>
          <w:p w:rsidR="001F7E13" w:rsidRDefault="001F7E13">
            <w:pPr>
              <w:pStyle w:val="ConsPlusNormal"/>
            </w:pPr>
          </w:p>
        </w:tc>
      </w:tr>
      <w:tr w:rsidR="001F7E13">
        <w:tblPrEx>
          <w:tblBorders>
            <w:insideH w:val="nil"/>
          </w:tblBorders>
        </w:tblPrEx>
        <w:tc>
          <w:tcPr>
            <w:tcW w:w="6009" w:type="dxa"/>
          </w:tcPr>
          <w:p w:rsidR="001F7E13" w:rsidRDefault="001F7E13">
            <w:pPr>
              <w:pStyle w:val="ConsPlusNormal"/>
              <w:jc w:val="both"/>
            </w:pPr>
            <w:r>
              <w:t xml:space="preserve">до 100 </w:t>
            </w:r>
            <w:proofErr w:type="spellStart"/>
            <w:r>
              <w:t>л.с</w:t>
            </w:r>
            <w:proofErr w:type="spellEnd"/>
            <w:r>
              <w:t>. (до 73,55 кВт) включительно</w:t>
            </w:r>
          </w:p>
        </w:tc>
        <w:tc>
          <w:tcPr>
            <w:tcW w:w="1587" w:type="dxa"/>
            <w:tcBorders>
              <w:top w:val="nil"/>
              <w:bottom w:val="nil"/>
            </w:tcBorders>
            <w:vAlign w:val="bottom"/>
          </w:tcPr>
          <w:p w:rsidR="001F7E13" w:rsidRDefault="001F7E13">
            <w:pPr>
              <w:pStyle w:val="ConsPlusNormal"/>
              <w:jc w:val="center"/>
            </w:pPr>
            <w:r>
              <w:t>10</w:t>
            </w:r>
          </w:p>
        </w:tc>
        <w:tc>
          <w:tcPr>
            <w:tcW w:w="1474" w:type="dxa"/>
            <w:tcBorders>
              <w:top w:val="nil"/>
              <w:bottom w:val="nil"/>
            </w:tcBorders>
            <w:vAlign w:val="bottom"/>
          </w:tcPr>
          <w:p w:rsidR="001F7E13" w:rsidRDefault="001F7E13">
            <w:pPr>
              <w:pStyle w:val="ConsPlusNormal"/>
              <w:jc w:val="center"/>
            </w:pPr>
            <w:r>
              <w:t>10</w:t>
            </w:r>
          </w:p>
        </w:tc>
      </w:tr>
      <w:tr w:rsidR="001F7E13">
        <w:tblPrEx>
          <w:tblBorders>
            <w:insideH w:val="nil"/>
          </w:tblBorders>
        </w:tblPrEx>
        <w:tc>
          <w:tcPr>
            <w:tcW w:w="6009" w:type="dxa"/>
          </w:tcPr>
          <w:p w:rsidR="001F7E13" w:rsidRDefault="001F7E13">
            <w:pPr>
              <w:pStyle w:val="ConsPlusNormal"/>
              <w:jc w:val="both"/>
            </w:pPr>
            <w:r>
              <w:t xml:space="preserve">свыше 100 </w:t>
            </w:r>
            <w:proofErr w:type="spellStart"/>
            <w:r>
              <w:t>л.</w:t>
            </w:r>
            <w:proofErr w:type="gramStart"/>
            <w:r>
              <w:t>с</w:t>
            </w:r>
            <w:proofErr w:type="spellEnd"/>
            <w:proofErr w:type="gramEnd"/>
            <w:r>
              <w:t xml:space="preserve">. до 150 </w:t>
            </w:r>
            <w:proofErr w:type="spellStart"/>
            <w:r>
              <w:t>л.</w:t>
            </w:r>
            <w:proofErr w:type="gramStart"/>
            <w:r>
              <w:t>с</w:t>
            </w:r>
            <w:proofErr w:type="spellEnd"/>
            <w:proofErr w:type="gramEnd"/>
            <w:r>
              <w:t>. (свыше 73,55 кВт до 110,33 кВт) включительно</w:t>
            </w:r>
          </w:p>
        </w:tc>
        <w:tc>
          <w:tcPr>
            <w:tcW w:w="1587" w:type="dxa"/>
            <w:tcBorders>
              <w:top w:val="nil"/>
              <w:bottom w:val="nil"/>
            </w:tcBorders>
            <w:vAlign w:val="bottom"/>
          </w:tcPr>
          <w:p w:rsidR="001F7E13" w:rsidRDefault="001F7E13">
            <w:pPr>
              <w:pStyle w:val="ConsPlusNormal"/>
              <w:jc w:val="center"/>
            </w:pPr>
            <w:r>
              <w:t>35</w:t>
            </w:r>
          </w:p>
        </w:tc>
        <w:tc>
          <w:tcPr>
            <w:tcW w:w="1474" w:type="dxa"/>
            <w:tcBorders>
              <w:top w:val="nil"/>
              <w:bottom w:val="nil"/>
            </w:tcBorders>
            <w:vAlign w:val="bottom"/>
          </w:tcPr>
          <w:p w:rsidR="001F7E13" w:rsidRDefault="001F7E13">
            <w:pPr>
              <w:pStyle w:val="ConsPlusNormal"/>
              <w:jc w:val="center"/>
            </w:pPr>
            <w:r>
              <w:t>35</w:t>
            </w:r>
          </w:p>
        </w:tc>
      </w:tr>
      <w:tr w:rsidR="001F7E13">
        <w:tblPrEx>
          <w:tblBorders>
            <w:insideH w:val="nil"/>
          </w:tblBorders>
        </w:tblPrEx>
        <w:tc>
          <w:tcPr>
            <w:tcW w:w="6009" w:type="dxa"/>
          </w:tcPr>
          <w:p w:rsidR="001F7E13" w:rsidRDefault="001F7E13">
            <w:pPr>
              <w:pStyle w:val="ConsPlusNormal"/>
              <w:jc w:val="both"/>
            </w:pPr>
            <w:r>
              <w:t xml:space="preserve">свыше 150 </w:t>
            </w:r>
            <w:proofErr w:type="spellStart"/>
            <w:r>
              <w:t>л.</w:t>
            </w:r>
            <w:proofErr w:type="gramStart"/>
            <w:r>
              <w:t>с</w:t>
            </w:r>
            <w:proofErr w:type="spellEnd"/>
            <w:proofErr w:type="gramEnd"/>
            <w:r>
              <w:t xml:space="preserve">. до 200 </w:t>
            </w:r>
            <w:proofErr w:type="spellStart"/>
            <w:r>
              <w:t>л.</w:t>
            </w:r>
            <w:proofErr w:type="gramStart"/>
            <w:r>
              <w:t>с</w:t>
            </w:r>
            <w:proofErr w:type="spellEnd"/>
            <w:proofErr w:type="gramEnd"/>
            <w:r>
              <w:t>. (свыше 110,33 кВт до 147,1 кВт) включительно</w:t>
            </w:r>
          </w:p>
        </w:tc>
        <w:tc>
          <w:tcPr>
            <w:tcW w:w="1587" w:type="dxa"/>
            <w:tcBorders>
              <w:top w:val="nil"/>
              <w:bottom w:val="nil"/>
            </w:tcBorders>
            <w:vAlign w:val="bottom"/>
          </w:tcPr>
          <w:p w:rsidR="001F7E13" w:rsidRDefault="001F7E13">
            <w:pPr>
              <w:pStyle w:val="ConsPlusNormal"/>
              <w:jc w:val="center"/>
            </w:pPr>
            <w:r>
              <w:t>50</w:t>
            </w:r>
          </w:p>
        </w:tc>
        <w:tc>
          <w:tcPr>
            <w:tcW w:w="1474" w:type="dxa"/>
            <w:tcBorders>
              <w:top w:val="nil"/>
              <w:bottom w:val="nil"/>
            </w:tcBorders>
            <w:vAlign w:val="bottom"/>
          </w:tcPr>
          <w:p w:rsidR="001F7E13" w:rsidRDefault="001F7E13">
            <w:pPr>
              <w:pStyle w:val="ConsPlusNormal"/>
              <w:jc w:val="center"/>
            </w:pPr>
            <w:r>
              <w:t>50</w:t>
            </w:r>
          </w:p>
        </w:tc>
      </w:tr>
      <w:tr w:rsidR="001F7E13">
        <w:tblPrEx>
          <w:tblBorders>
            <w:insideH w:val="nil"/>
          </w:tblBorders>
        </w:tblPrEx>
        <w:tc>
          <w:tcPr>
            <w:tcW w:w="6009" w:type="dxa"/>
          </w:tcPr>
          <w:p w:rsidR="001F7E13" w:rsidRDefault="001F7E13">
            <w:pPr>
              <w:pStyle w:val="ConsPlusNormal"/>
              <w:jc w:val="both"/>
            </w:pPr>
            <w:r>
              <w:t xml:space="preserve">свыше 200 </w:t>
            </w:r>
            <w:proofErr w:type="spellStart"/>
            <w:r>
              <w:t>л.</w:t>
            </w:r>
            <w:proofErr w:type="gramStart"/>
            <w:r>
              <w:t>с</w:t>
            </w:r>
            <w:proofErr w:type="spellEnd"/>
            <w:proofErr w:type="gramEnd"/>
            <w:r>
              <w:t xml:space="preserve">. до 250 </w:t>
            </w:r>
            <w:proofErr w:type="spellStart"/>
            <w:r>
              <w:t>л.</w:t>
            </w:r>
            <w:proofErr w:type="gramStart"/>
            <w:r>
              <w:t>с</w:t>
            </w:r>
            <w:proofErr w:type="spellEnd"/>
            <w:proofErr w:type="gramEnd"/>
            <w:r>
              <w:t>. (свыше 147,1 кВт до 183,9 кВт) включительно</w:t>
            </w:r>
          </w:p>
        </w:tc>
        <w:tc>
          <w:tcPr>
            <w:tcW w:w="1587" w:type="dxa"/>
            <w:tcBorders>
              <w:top w:val="nil"/>
              <w:bottom w:val="nil"/>
            </w:tcBorders>
            <w:vAlign w:val="bottom"/>
          </w:tcPr>
          <w:p w:rsidR="001F7E13" w:rsidRDefault="001F7E13">
            <w:pPr>
              <w:pStyle w:val="ConsPlusNormal"/>
              <w:jc w:val="center"/>
            </w:pPr>
            <w:r>
              <w:t>75</w:t>
            </w:r>
          </w:p>
        </w:tc>
        <w:tc>
          <w:tcPr>
            <w:tcW w:w="1474" w:type="dxa"/>
            <w:tcBorders>
              <w:top w:val="nil"/>
              <w:bottom w:val="nil"/>
            </w:tcBorders>
            <w:vAlign w:val="bottom"/>
          </w:tcPr>
          <w:p w:rsidR="001F7E13" w:rsidRDefault="001F7E13">
            <w:pPr>
              <w:pStyle w:val="ConsPlusNormal"/>
              <w:jc w:val="center"/>
            </w:pPr>
            <w:r>
              <w:t>75</w:t>
            </w:r>
          </w:p>
        </w:tc>
      </w:tr>
      <w:tr w:rsidR="001F7E13">
        <w:tc>
          <w:tcPr>
            <w:tcW w:w="6009" w:type="dxa"/>
          </w:tcPr>
          <w:p w:rsidR="001F7E13" w:rsidRDefault="001F7E13">
            <w:pPr>
              <w:pStyle w:val="ConsPlusNormal"/>
              <w:jc w:val="both"/>
            </w:pPr>
            <w:r>
              <w:t xml:space="preserve">свыше 250 </w:t>
            </w:r>
            <w:proofErr w:type="spellStart"/>
            <w:r>
              <w:t>л.с</w:t>
            </w:r>
            <w:proofErr w:type="spellEnd"/>
            <w:r>
              <w:t>. (свыше 183,9 кВт)</w:t>
            </w:r>
          </w:p>
        </w:tc>
        <w:tc>
          <w:tcPr>
            <w:tcW w:w="1587" w:type="dxa"/>
            <w:tcBorders>
              <w:top w:val="nil"/>
            </w:tcBorders>
            <w:vAlign w:val="bottom"/>
          </w:tcPr>
          <w:p w:rsidR="001F7E13" w:rsidRDefault="001F7E13">
            <w:pPr>
              <w:pStyle w:val="ConsPlusNormal"/>
              <w:jc w:val="center"/>
            </w:pPr>
            <w:r>
              <w:t>150</w:t>
            </w:r>
          </w:p>
        </w:tc>
        <w:tc>
          <w:tcPr>
            <w:tcW w:w="1474" w:type="dxa"/>
            <w:tcBorders>
              <w:top w:val="nil"/>
            </w:tcBorders>
            <w:vAlign w:val="bottom"/>
          </w:tcPr>
          <w:p w:rsidR="001F7E13" w:rsidRDefault="001F7E13">
            <w:pPr>
              <w:pStyle w:val="ConsPlusNormal"/>
              <w:jc w:val="center"/>
            </w:pPr>
            <w:r>
              <w:t>150</w:t>
            </w:r>
          </w:p>
        </w:tc>
      </w:tr>
      <w:tr w:rsidR="001F7E13">
        <w:tc>
          <w:tcPr>
            <w:tcW w:w="6009" w:type="dxa"/>
          </w:tcPr>
          <w:p w:rsidR="001F7E13" w:rsidRDefault="001F7E13">
            <w:pPr>
              <w:pStyle w:val="ConsPlusNormal"/>
              <w:jc w:val="both"/>
            </w:pPr>
            <w:r>
              <w:t>2. Мотоциклы и мотороллеры с мощностью двигателя (с каждой лошадиной силы):</w:t>
            </w:r>
          </w:p>
        </w:tc>
        <w:tc>
          <w:tcPr>
            <w:tcW w:w="1587" w:type="dxa"/>
            <w:tcBorders>
              <w:bottom w:val="nil"/>
            </w:tcBorders>
            <w:vAlign w:val="bottom"/>
          </w:tcPr>
          <w:p w:rsidR="001F7E13" w:rsidRDefault="001F7E13">
            <w:pPr>
              <w:pStyle w:val="ConsPlusNormal"/>
            </w:pPr>
          </w:p>
        </w:tc>
        <w:tc>
          <w:tcPr>
            <w:tcW w:w="1474" w:type="dxa"/>
            <w:tcBorders>
              <w:bottom w:val="nil"/>
            </w:tcBorders>
            <w:vAlign w:val="bottom"/>
          </w:tcPr>
          <w:p w:rsidR="001F7E13" w:rsidRDefault="001F7E13">
            <w:pPr>
              <w:pStyle w:val="ConsPlusNormal"/>
            </w:pPr>
          </w:p>
        </w:tc>
      </w:tr>
      <w:tr w:rsidR="001F7E13">
        <w:tblPrEx>
          <w:tblBorders>
            <w:insideH w:val="nil"/>
          </w:tblBorders>
        </w:tblPrEx>
        <w:tc>
          <w:tcPr>
            <w:tcW w:w="6009" w:type="dxa"/>
          </w:tcPr>
          <w:p w:rsidR="001F7E13" w:rsidRDefault="001F7E13">
            <w:pPr>
              <w:pStyle w:val="ConsPlusNormal"/>
              <w:jc w:val="both"/>
            </w:pPr>
            <w:r>
              <w:t xml:space="preserve">до 20 </w:t>
            </w:r>
            <w:proofErr w:type="spellStart"/>
            <w:r>
              <w:t>л.с</w:t>
            </w:r>
            <w:proofErr w:type="spellEnd"/>
            <w:r>
              <w:t>. (до 14,7 кВт) включительно</w:t>
            </w:r>
          </w:p>
        </w:tc>
        <w:tc>
          <w:tcPr>
            <w:tcW w:w="1587" w:type="dxa"/>
            <w:tcBorders>
              <w:top w:val="nil"/>
              <w:bottom w:val="nil"/>
            </w:tcBorders>
            <w:vAlign w:val="bottom"/>
          </w:tcPr>
          <w:p w:rsidR="001F7E13" w:rsidRDefault="001F7E13">
            <w:pPr>
              <w:pStyle w:val="ConsPlusNormal"/>
              <w:jc w:val="center"/>
            </w:pPr>
            <w:r>
              <w:t>5</w:t>
            </w:r>
          </w:p>
        </w:tc>
        <w:tc>
          <w:tcPr>
            <w:tcW w:w="1474" w:type="dxa"/>
            <w:tcBorders>
              <w:top w:val="nil"/>
              <w:bottom w:val="nil"/>
            </w:tcBorders>
            <w:vAlign w:val="bottom"/>
          </w:tcPr>
          <w:p w:rsidR="001F7E13" w:rsidRDefault="001F7E13">
            <w:pPr>
              <w:pStyle w:val="ConsPlusNormal"/>
              <w:jc w:val="center"/>
            </w:pPr>
            <w:r>
              <w:t>7</w:t>
            </w:r>
          </w:p>
        </w:tc>
      </w:tr>
      <w:tr w:rsidR="001F7E13">
        <w:tblPrEx>
          <w:tblBorders>
            <w:insideH w:val="nil"/>
          </w:tblBorders>
        </w:tblPrEx>
        <w:tc>
          <w:tcPr>
            <w:tcW w:w="6009" w:type="dxa"/>
          </w:tcPr>
          <w:p w:rsidR="001F7E13" w:rsidRDefault="001F7E13">
            <w:pPr>
              <w:pStyle w:val="ConsPlusNormal"/>
              <w:jc w:val="both"/>
            </w:pPr>
            <w:r>
              <w:t xml:space="preserve">свыше 20 </w:t>
            </w:r>
            <w:proofErr w:type="spellStart"/>
            <w:r>
              <w:t>л.</w:t>
            </w:r>
            <w:proofErr w:type="gramStart"/>
            <w:r>
              <w:t>с</w:t>
            </w:r>
            <w:proofErr w:type="spellEnd"/>
            <w:proofErr w:type="gramEnd"/>
            <w:r>
              <w:t xml:space="preserve">. до 35 </w:t>
            </w:r>
            <w:proofErr w:type="spellStart"/>
            <w:r>
              <w:t>л.</w:t>
            </w:r>
            <w:proofErr w:type="gramStart"/>
            <w:r>
              <w:t>с</w:t>
            </w:r>
            <w:proofErr w:type="spellEnd"/>
            <w:proofErr w:type="gramEnd"/>
            <w:r>
              <w:t>. (свыше 14,7 кВт до 25,74 кВт) включительно</w:t>
            </w:r>
          </w:p>
        </w:tc>
        <w:tc>
          <w:tcPr>
            <w:tcW w:w="1587" w:type="dxa"/>
            <w:tcBorders>
              <w:top w:val="nil"/>
              <w:bottom w:val="nil"/>
            </w:tcBorders>
            <w:vAlign w:val="bottom"/>
          </w:tcPr>
          <w:p w:rsidR="001F7E13" w:rsidRDefault="001F7E13">
            <w:pPr>
              <w:pStyle w:val="ConsPlusNormal"/>
              <w:jc w:val="center"/>
            </w:pPr>
            <w:r>
              <w:t>8</w:t>
            </w:r>
          </w:p>
        </w:tc>
        <w:tc>
          <w:tcPr>
            <w:tcW w:w="1474" w:type="dxa"/>
            <w:tcBorders>
              <w:top w:val="nil"/>
              <w:bottom w:val="nil"/>
            </w:tcBorders>
            <w:vAlign w:val="bottom"/>
          </w:tcPr>
          <w:p w:rsidR="001F7E13" w:rsidRDefault="001F7E13">
            <w:pPr>
              <w:pStyle w:val="ConsPlusNormal"/>
              <w:jc w:val="center"/>
            </w:pPr>
            <w:r>
              <w:t>10</w:t>
            </w:r>
          </w:p>
        </w:tc>
      </w:tr>
      <w:tr w:rsidR="001F7E13">
        <w:tc>
          <w:tcPr>
            <w:tcW w:w="6009" w:type="dxa"/>
          </w:tcPr>
          <w:p w:rsidR="001F7E13" w:rsidRDefault="001F7E13">
            <w:pPr>
              <w:pStyle w:val="ConsPlusNormal"/>
              <w:jc w:val="both"/>
            </w:pPr>
            <w:r>
              <w:t xml:space="preserve">свыше 35 </w:t>
            </w:r>
            <w:proofErr w:type="spellStart"/>
            <w:r>
              <w:t>л.с</w:t>
            </w:r>
            <w:proofErr w:type="spellEnd"/>
            <w:r>
              <w:t>. (свыше 25,74 кВт)</w:t>
            </w:r>
          </w:p>
        </w:tc>
        <w:tc>
          <w:tcPr>
            <w:tcW w:w="1587" w:type="dxa"/>
            <w:tcBorders>
              <w:top w:val="nil"/>
            </w:tcBorders>
            <w:vAlign w:val="bottom"/>
          </w:tcPr>
          <w:p w:rsidR="001F7E13" w:rsidRDefault="001F7E13">
            <w:pPr>
              <w:pStyle w:val="ConsPlusNormal"/>
              <w:jc w:val="center"/>
            </w:pPr>
            <w:r>
              <w:t>30</w:t>
            </w:r>
          </w:p>
        </w:tc>
        <w:tc>
          <w:tcPr>
            <w:tcW w:w="1474" w:type="dxa"/>
            <w:tcBorders>
              <w:top w:val="nil"/>
            </w:tcBorders>
            <w:vAlign w:val="bottom"/>
          </w:tcPr>
          <w:p w:rsidR="001F7E13" w:rsidRDefault="001F7E13">
            <w:pPr>
              <w:pStyle w:val="ConsPlusNormal"/>
              <w:jc w:val="center"/>
            </w:pPr>
            <w:r>
              <w:t>30</w:t>
            </w:r>
          </w:p>
        </w:tc>
      </w:tr>
      <w:tr w:rsidR="001F7E13">
        <w:tc>
          <w:tcPr>
            <w:tcW w:w="6009" w:type="dxa"/>
          </w:tcPr>
          <w:p w:rsidR="001F7E13" w:rsidRDefault="001F7E13">
            <w:pPr>
              <w:pStyle w:val="ConsPlusNormal"/>
              <w:jc w:val="both"/>
            </w:pPr>
            <w:r>
              <w:t>3. Автобусы с мощностью двигателя (с каждой лошадиной силы):</w:t>
            </w:r>
          </w:p>
        </w:tc>
        <w:tc>
          <w:tcPr>
            <w:tcW w:w="1587" w:type="dxa"/>
            <w:tcBorders>
              <w:bottom w:val="nil"/>
            </w:tcBorders>
            <w:vAlign w:val="bottom"/>
          </w:tcPr>
          <w:p w:rsidR="001F7E13" w:rsidRDefault="001F7E13">
            <w:pPr>
              <w:pStyle w:val="ConsPlusNormal"/>
            </w:pPr>
          </w:p>
        </w:tc>
        <w:tc>
          <w:tcPr>
            <w:tcW w:w="1474" w:type="dxa"/>
            <w:tcBorders>
              <w:bottom w:val="nil"/>
            </w:tcBorders>
            <w:vAlign w:val="bottom"/>
          </w:tcPr>
          <w:p w:rsidR="001F7E13" w:rsidRDefault="001F7E13">
            <w:pPr>
              <w:pStyle w:val="ConsPlusNormal"/>
            </w:pPr>
          </w:p>
        </w:tc>
      </w:tr>
      <w:tr w:rsidR="001F7E13">
        <w:tblPrEx>
          <w:tblBorders>
            <w:insideH w:val="nil"/>
          </w:tblBorders>
        </w:tblPrEx>
        <w:tc>
          <w:tcPr>
            <w:tcW w:w="6009" w:type="dxa"/>
          </w:tcPr>
          <w:p w:rsidR="001F7E13" w:rsidRDefault="001F7E13">
            <w:pPr>
              <w:pStyle w:val="ConsPlusNormal"/>
              <w:jc w:val="both"/>
            </w:pPr>
            <w:r>
              <w:t xml:space="preserve">до 200 </w:t>
            </w:r>
            <w:proofErr w:type="spellStart"/>
            <w:r>
              <w:t>л.с</w:t>
            </w:r>
            <w:proofErr w:type="spellEnd"/>
            <w:r>
              <w:t>. (до 147,1 кВт) включительно</w:t>
            </w:r>
          </w:p>
        </w:tc>
        <w:tc>
          <w:tcPr>
            <w:tcW w:w="1587" w:type="dxa"/>
            <w:tcBorders>
              <w:top w:val="nil"/>
              <w:bottom w:val="nil"/>
            </w:tcBorders>
            <w:vAlign w:val="bottom"/>
          </w:tcPr>
          <w:p w:rsidR="001F7E13" w:rsidRDefault="001F7E13">
            <w:pPr>
              <w:pStyle w:val="ConsPlusNormal"/>
              <w:jc w:val="center"/>
            </w:pPr>
            <w:r>
              <w:t>50</w:t>
            </w:r>
          </w:p>
        </w:tc>
        <w:tc>
          <w:tcPr>
            <w:tcW w:w="1474" w:type="dxa"/>
            <w:tcBorders>
              <w:top w:val="nil"/>
              <w:bottom w:val="nil"/>
            </w:tcBorders>
            <w:vAlign w:val="bottom"/>
          </w:tcPr>
          <w:p w:rsidR="001F7E13" w:rsidRDefault="001F7E13">
            <w:pPr>
              <w:pStyle w:val="ConsPlusNormal"/>
              <w:jc w:val="center"/>
            </w:pPr>
            <w:r>
              <w:t>50</w:t>
            </w:r>
          </w:p>
        </w:tc>
      </w:tr>
      <w:tr w:rsidR="001F7E13">
        <w:tc>
          <w:tcPr>
            <w:tcW w:w="6009" w:type="dxa"/>
          </w:tcPr>
          <w:p w:rsidR="001F7E13" w:rsidRDefault="001F7E13">
            <w:pPr>
              <w:pStyle w:val="ConsPlusNormal"/>
              <w:jc w:val="both"/>
            </w:pPr>
            <w:r>
              <w:t xml:space="preserve">свыше 200 </w:t>
            </w:r>
            <w:proofErr w:type="spellStart"/>
            <w:r>
              <w:t>л.с</w:t>
            </w:r>
            <w:proofErr w:type="spellEnd"/>
            <w:r>
              <w:t>. (свыше 147,1 кВт)</w:t>
            </w:r>
          </w:p>
        </w:tc>
        <w:tc>
          <w:tcPr>
            <w:tcW w:w="1587" w:type="dxa"/>
            <w:tcBorders>
              <w:top w:val="nil"/>
            </w:tcBorders>
            <w:vAlign w:val="bottom"/>
          </w:tcPr>
          <w:p w:rsidR="001F7E13" w:rsidRDefault="001F7E13">
            <w:pPr>
              <w:pStyle w:val="ConsPlusNormal"/>
              <w:jc w:val="center"/>
            </w:pPr>
            <w:r>
              <w:t>100</w:t>
            </w:r>
          </w:p>
        </w:tc>
        <w:tc>
          <w:tcPr>
            <w:tcW w:w="1474" w:type="dxa"/>
            <w:tcBorders>
              <w:top w:val="nil"/>
            </w:tcBorders>
            <w:vAlign w:val="bottom"/>
          </w:tcPr>
          <w:p w:rsidR="001F7E13" w:rsidRDefault="001F7E13">
            <w:pPr>
              <w:pStyle w:val="ConsPlusNormal"/>
              <w:jc w:val="center"/>
            </w:pPr>
            <w:r>
              <w:t>100</w:t>
            </w:r>
          </w:p>
        </w:tc>
      </w:tr>
      <w:tr w:rsidR="001F7E13">
        <w:tc>
          <w:tcPr>
            <w:tcW w:w="6009" w:type="dxa"/>
          </w:tcPr>
          <w:p w:rsidR="001F7E13" w:rsidRDefault="001F7E13">
            <w:pPr>
              <w:pStyle w:val="ConsPlusNormal"/>
              <w:jc w:val="both"/>
            </w:pPr>
            <w:r>
              <w:t>4. Автомобили грузовые с мощностью двигателя (с каждой лошадиной силы):</w:t>
            </w:r>
          </w:p>
        </w:tc>
        <w:tc>
          <w:tcPr>
            <w:tcW w:w="1587" w:type="dxa"/>
            <w:tcBorders>
              <w:bottom w:val="nil"/>
            </w:tcBorders>
            <w:vAlign w:val="bottom"/>
          </w:tcPr>
          <w:p w:rsidR="001F7E13" w:rsidRDefault="001F7E13">
            <w:pPr>
              <w:pStyle w:val="ConsPlusNormal"/>
            </w:pPr>
          </w:p>
        </w:tc>
        <w:tc>
          <w:tcPr>
            <w:tcW w:w="1474" w:type="dxa"/>
            <w:tcBorders>
              <w:bottom w:val="nil"/>
            </w:tcBorders>
            <w:vAlign w:val="bottom"/>
          </w:tcPr>
          <w:p w:rsidR="001F7E13" w:rsidRDefault="001F7E13">
            <w:pPr>
              <w:pStyle w:val="ConsPlusNormal"/>
            </w:pPr>
          </w:p>
        </w:tc>
      </w:tr>
      <w:tr w:rsidR="001F7E13">
        <w:tblPrEx>
          <w:tblBorders>
            <w:insideH w:val="nil"/>
          </w:tblBorders>
        </w:tblPrEx>
        <w:tc>
          <w:tcPr>
            <w:tcW w:w="6009" w:type="dxa"/>
          </w:tcPr>
          <w:p w:rsidR="001F7E13" w:rsidRDefault="001F7E13">
            <w:pPr>
              <w:pStyle w:val="ConsPlusNormal"/>
              <w:jc w:val="both"/>
            </w:pPr>
            <w:r>
              <w:t xml:space="preserve">до 100 </w:t>
            </w:r>
            <w:proofErr w:type="spellStart"/>
            <w:r>
              <w:t>л.с</w:t>
            </w:r>
            <w:proofErr w:type="spellEnd"/>
            <w:r>
              <w:t>. (до 73,55 кВт) включительно</w:t>
            </w:r>
          </w:p>
        </w:tc>
        <w:tc>
          <w:tcPr>
            <w:tcW w:w="1587" w:type="dxa"/>
            <w:tcBorders>
              <w:top w:val="nil"/>
              <w:bottom w:val="nil"/>
            </w:tcBorders>
            <w:vAlign w:val="bottom"/>
          </w:tcPr>
          <w:p w:rsidR="001F7E13" w:rsidRDefault="001F7E13">
            <w:pPr>
              <w:pStyle w:val="ConsPlusNormal"/>
              <w:jc w:val="center"/>
            </w:pPr>
            <w:r>
              <w:t>25</w:t>
            </w:r>
          </w:p>
        </w:tc>
        <w:tc>
          <w:tcPr>
            <w:tcW w:w="1474" w:type="dxa"/>
            <w:tcBorders>
              <w:top w:val="nil"/>
              <w:bottom w:val="nil"/>
            </w:tcBorders>
            <w:vAlign w:val="bottom"/>
          </w:tcPr>
          <w:p w:rsidR="001F7E13" w:rsidRDefault="001F7E13">
            <w:pPr>
              <w:pStyle w:val="ConsPlusNormal"/>
              <w:jc w:val="center"/>
            </w:pPr>
            <w:r>
              <w:t>25</w:t>
            </w:r>
          </w:p>
        </w:tc>
      </w:tr>
      <w:tr w:rsidR="001F7E13">
        <w:tc>
          <w:tcPr>
            <w:tcW w:w="6009" w:type="dxa"/>
          </w:tcPr>
          <w:p w:rsidR="001F7E13" w:rsidRDefault="001F7E13">
            <w:pPr>
              <w:pStyle w:val="ConsPlusNormal"/>
              <w:jc w:val="both"/>
            </w:pPr>
            <w:r>
              <w:t xml:space="preserve">свыше 100 </w:t>
            </w:r>
            <w:proofErr w:type="spellStart"/>
            <w:r>
              <w:t>л.</w:t>
            </w:r>
            <w:proofErr w:type="gramStart"/>
            <w:r>
              <w:t>с</w:t>
            </w:r>
            <w:proofErr w:type="spellEnd"/>
            <w:proofErr w:type="gramEnd"/>
            <w:r>
              <w:t xml:space="preserve">. до 150 </w:t>
            </w:r>
            <w:proofErr w:type="spellStart"/>
            <w:r>
              <w:t>л.</w:t>
            </w:r>
            <w:proofErr w:type="gramStart"/>
            <w:r>
              <w:t>с</w:t>
            </w:r>
            <w:proofErr w:type="spellEnd"/>
            <w:proofErr w:type="gramEnd"/>
            <w:r>
              <w:t>. (свыше 73,55 кВт до 110,33 кВт) включительно</w:t>
            </w:r>
          </w:p>
        </w:tc>
        <w:tc>
          <w:tcPr>
            <w:tcW w:w="1587" w:type="dxa"/>
            <w:tcBorders>
              <w:top w:val="nil"/>
            </w:tcBorders>
            <w:vAlign w:val="bottom"/>
          </w:tcPr>
          <w:p w:rsidR="001F7E13" w:rsidRDefault="001F7E13">
            <w:pPr>
              <w:pStyle w:val="ConsPlusNormal"/>
              <w:jc w:val="center"/>
            </w:pPr>
            <w:r>
              <w:t>40</w:t>
            </w:r>
          </w:p>
        </w:tc>
        <w:tc>
          <w:tcPr>
            <w:tcW w:w="1474" w:type="dxa"/>
            <w:tcBorders>
              <w:top w:val="nil"/>
            </w:tcBorders>
            <w:vAlign w:val="bottom"/>
          </w:tcPr>
          <w:p w:rsidR="001F7E13" w:rsidRDefault="001F7E13">
            <w:pPr>
              <w:pStyle w:val="ConsPlusNormal"/>
              <w:jc w:val="center"/>
            </w:pPr>
            <w:r>
              <w:t>40</w:t>
            </w:r>
          </w:p>
        </w:tc>
      </w:tr>
      <w:tr w:rsidR="001F7E13">
        <w:tc>
          <w:tcPr>
            <w:tcW w:w="6009" w:type="dxa"/>
          </w:tcPr>
          <w:p w:rsidR="001F7E13" w:rsidRDefault="001F7E13">
            <w:pPr>
              <w:pStyle w:val="ConsPlusNormal"/>
              <w:jc w:val="both"/>
            </w:pPr>
            <w:r>
              <w:t xml:space="preserve">свыше 150 </w:t>
            </w:r>
            <w:proofErr w:type="spellStart"/>
            <w:r>
              <w:t>л.</w:t>
            </w:r>
            <w:proofErr w:type="gramStart"/>
            <w:r>
              <w:t>с</w:t>
            </w:r>
            <w:proofErr w:type="spellEnd"/>
            <w:proofErr w:type="gramEnd"/>
            <w:r>
              <w:t xml:space="preserve">. до 200 </w:t>
            </w:r>
            <w:proofErr w:type="spellStart"/>
            <w:r>
              <w:t>л.</w:t>
            </w:r>
            <w:proofErr w:type="gramStart"/>
            <w:r>
              <w:t>с</w:t>
            </w:r>
            <w:proofErr w:type="spellEnd"/>
            <w:proofErr w:type="gramEnd"/>
            <w:r>
              <w:t>. (свыше 110,33 кВт до 147,1 кВт) включительно</w:t>
            </w:r>
          </w:p>
        </w:tc>
        <w:tc>
          <w:tcPr>
            <w:tcW w:w="1587" w:type="dxa"/>
            <w:tcBorders>
              <w:bottom w:val="nil"/>
            </w:tcBorders>
            <w:vAlign w:val="bottom"/>
          </w:tcPr>
          <w:p w:rsidR="001F7E13" w:rsidRDefault="001F7E13">
            <w:pPr>
              <w:pStyle w:val="ConsPlusNormal"/>
              <w:jc w:val="center"/>
            </w:pPr>
            <w:r>
              <w:t>50</w:t>
            </w:r>
          </w:p>
        </w:tc>
        <w:tc>
          <w:tcPr>
            <w:tcW w:w="1474" w:type="dxa"/>
            <w:tcBorders>
              <w:bottom w:val="nil"/>
            </w:tcBorders>
            <w:vAlign w:val="bottom"/>
          </w:tcPr>
          <w:p w:rsidR="001F7E13" w:rsidRDefault="001F7E13">
            <w:pPr>
              <w:pStyle w:val="ConsPlusNormal"/>
              <w:jc w:val="center"/>
            </w:pPr>
            <w:r>
              <w:t>50</w:t>
            </w:r>
          </w:p>
        </w:tc>
      </w:tr>
      <w:tr w:rsidR="001F7E13">
        <w:tblPrEx>
          <w:tblBorders>
            <w:insideH w:val="nil"/>
          </w:tblBorders>
        </w:tblPrEx>
        <w:tc>
          <w:tcPr>
            <w:tcW w:w="6009" w:type="dxa"/>
          </w:tcPr>
          <w:p w:rsidR="001F7E13" w:rsidRDefault="001F7E13">
            <w:pPr>
              <w:pStyle w:val="ConsPlusNormal"/>
              <w:jc w:val="both"/>
            </w:pPr>
            <w:r>
              <w:t xml:space="preserve">свыше 200 </w:t>
            </w:r>
            <w:proofErr w:type="spellStart"/>
            <w:r>
              <w:t>л.</w:t>
            </w:r>
            <w:proofErr w:type="gramStart"/>
            <w:r>
              <w:t>с</w:t>
            </w:r>
            <w:proofErr w:type="spellEnd"/>
            <w:proofErr w:type="gramEnd"/>
            <w:r>
              <w:t xml:space="preserve">. до 250 </w:t>
            </w:r>
            <w:proofErr w:type="spellStart"/>
            <w:r>
              <w:t>л.</w:t>
            </w:r>
            <w:proofErr w:type="gramStart"/>
            <w:r>
              <w:t>с</w:t>
            </w:r>
            <w:proofErr w:type="spellEnd"/>
            <w:proofErr w:type="gramEnd"/>
            <w:r>
              <w:t>. (свыше 147,1 кВт до 183,9 кВт) включительно</w:t>
            </w:r>
          </w:p>
        </w:tc>
        <w:tc>
          <w:tcPr>
            <w:tcW w:w="1587" w:type="dxa"/>
            <w:tcBorders>
              <w:top w:val="nil"/>
              <w:bottom w:val="nil"/>
            </w:tcBorders>
            <w:vAlign w:val="bottom"/>
          </w:tcPr>
          <w:p w:rsidR="001F7E13" w:rsidRDefault="001F7E13">
            <w:pPr>
              <w:pStyle w:val="ConsPlusNormal"/>
              <w:jc w:val="center"/>
            </w:pPr>
            <w:r>
              <w:t>65</w:t>
            </w:r>
          </w:p>
        </w:tc>
        <w:tc>
          <w:tcPr>
            <w:tcW w:w="1474" w:type="dxa"/>
            <w:tcBorders>
              <w:top w:val="nil"/>
              <w:bottom w:val="nil"/>
            </w:tcBorders>
            <w:vAlign w:val="bottom"/>
          </w:tcPr>
          <w:p w:rsidR="001F7E13" w:rsidRDefault="001F7E13">
            <w:pPr>
              <w:pStyle w:val="ConsPlusNormal"/>
              <w:jc w:val="center"/>
            </w:pPr>
            <w:r>
              <w:t>65</w:t>
            </w:r>
          </w:p>
        </w:tc>
      </w:tr>
      <w:tr w:rsidR="001F7E13">
        <w:tc>
          <w:tcPr>
            <w:tcW w:w="6009" w:type="dxa"/>
          </w:tcPr>
          <w:p w:rsidR="001F7E13" w:rsidRDefault="001F7E13">
            <w:pPr>
              <w:pStyle w:val="ConsPlusNormal"/>
              <w:jc w:val="both"/>
            </w:pPr>
            <w:r>
              <w:t xml:space="preserve">свыше 250 </w:t>
            </w:r>
            <w:proofErr w:type="spellStart"/>
            <w:r>
              <w:t>л.с</w:t>
            </w:r>
            <w:proofErr w:type="spellEnd"/>
            <w:r>
              <w:t>. (свыше 183,9 кВт)</w:t>
            </w:r>
          </w:p>
        </w:tc>
        <w:tc>
          <w:tcPr>
            <w:tcW w:w="1587" w:type="dxa"/>
            <w:tcBorders>
              <w:top w:val="nil"/>
            </w:tcBorders>
            <w:vAlign w:val="bottom"/>
          </w:tcPr>
          <w:p w:rsidR="001F7E13" w:rsidRDefault="001F7E13">
            <w:pPr>
              <w:pStyle w:val="ConsPlusNormal"/>
              <w:jc w:val="center"/>
            </w:pPr>
            <w:r>
              <w:t>85</w:t>
            </w:r>
          </w:p>
        </w:tc>
        <w:tc>
          <w:tcPr>
            <w:tcW w:w="1474" w:type="dxa"/>
            <w:tcBorders>
              <w:top w:val="nil"/>
            </w:tcBorders>
            <w:vAlign w:val="bottom"/>
          </w:tcPr>
          <w:p w:rsidR="001F7E13" w:rsidRDefault="001F7E13">
            <w:pPr>
              <w:pStyle w:val="ConsPlusNormal"/>
              <w:jc w:val="center"/>
            </w:pPr>
            <w:r>
              <w:t>85</w:t>
            </w:r>
          </w:p>
        </w:tc>
      </w:tr>
      <w:tr w:rsidR="001F7E13">
        <w:tc>
          <w:tcPr>
            <w:tcW w:w="6009" w:type="dxa"/>
          </w:tcPr>
          <w:p w:rsidR="001F7E13" w:rsidRDefault="001F7E13">
            <w:pPr>
              <w:pStyle w:val="ConsPlusNormal"/>
              <w:jc w:val="both"/>
            </w:pPr>
            <w:r>
              <w:t>5. Другие самоходные транспортные средства, машины и механизмы на пневматическом и гусеничном ходу (с каждой лошадиной силы)</w:t>
            </w:r>
          </w:p>
        </w:tc>
        <w:tc>
          <w:tcPr>
            <w:tcW w:w="1587" w:type="dxa"/>
            <w:vAlign w:val="bottom"/>
          </w:tcPr>
          <w:p w:rsidR="001F7E13" w:rsidRDefault="001F7E13">
            <w:pPr>
              <w:pStyle w:val="ConsPlusNormal"/>
              <w:jc w:val="center"/>
            </w:pPr>
            <w:r>
              <w:t>25</w:t>
            </w:r>
          </w:p>
        </w:tc>
        <w:tc>
          <w:tcPr>
            <w:tcW w:w="1474" w:type="dxa"/>
            <w:vAlign w:val="bottom"/>
          </w:tcPr>
          <w:p w:rsidR="001F7E13" w:rsidRDefault="001F7E13">
            <w:pPr>
              <w:pStyle w:val="ConsPlusNormal"/>
              <w:jc w:val="center"/>
            </w:pPr>
            <w:r>
              <w:t>25</w:t>
            </w:r>
          </w:p>
        </w:tc>
      </w:tr>
      <w:tr w:rsidR="001F7E13">
        <w:tc>
          <w:tcPr>
            <w:tcW w:w="6009" w:type="dxa"/>
          </w:tcPr>
          <w:p w:rsidR="001F7E13" w:rsidRDefault="001F7E13">
            <w:pPr>
              <w:pStyle w:val="ConsPlusNormal"/>
              <w:jc w:val="both"/>
            </w:pPr>
            <w:r>
              <w:lastRenderedPageBreak/>
              <w:t>6. Снегоходы, мотосани с мощностью двигателя (с каждой лошадиной силы):</w:t>
            </w:r>
          </w:p>
        </w:tc>
        <w:tc>
          <w:tcPr>
            <w:tcW w:w="1587" w:type="dxa"/>
            <w:tcBorders>
              <w:bottom w:val="nil"/>
            </w:tcBorders>
            <w:vAlign w:val="bottom"/>
          </w:tcPr>
          <w:p w:rsidR="001F7E13" w:rsidRDefault="001F7E13">
            <w:pPr>
              <w:pStyle w:val="ConsPlusNormal"/>
            </w:pPr>
          </w:p>
        </w:tc>
        <w:tc>
          <w:tcPr>
            <w:tcW w:w="1474" w:type="dxa"/>
            <w:tcBorders>
              <w:bottom w:val="nil"/>
            </w:tcBorders>
            <w:vAlign w:val="bottom"/>
          </w:tcPr>
          <w:p w:rsidR="001F7E13" w:rsidRDefault="001F7E13">
            <w:pPr>
              <w:pStyle w:val="ConsPlusNormal"/>
            </w:pPr>
          </w:p>
        </w:tc>
      </w:tr>
      <w:tr w:rsidR="001F7E13">
        <w:tblPrEx>
          <w:tblBorders>
            <w:insideH w:val="nil"/>
          </w:tblBorders>
        </w:tblPrEx>
        <w:tc>
          <w:tcPr>
            <w:tcW w:w="6009" w:type="dxa"/>
          </w:tcPr>
          <w:p w:rsidR="001F7E13" w:rsidRDefault="001F7E13">
            <w:pPr>
              <w:pStyle w:val="ConsPlusNormal"/>
              <w:jc w:val="both"/>
            </w:pPr>
            <w:r>
              <w:t xml:space="preserve">до 50 </w:t>
            </w:r>
            <w:proofErr w:type="spellStart"/>
            <w:r>
              <w:t>л.с</w:t>
            </w:r>
            <w:proofErr w:type="spellEnd"/>
            <w:r>
              <w:t>. (до 36,77 кВт) включительно</w:t>
            </w:r>
          </w:p>
        </w:tc>
        <w:tc>
          <w:tcPr>
            <w:tcW w:w="1587" w:type="dxa"/>
            <w:tcBorders>
              <w:top w:val="nil"/>
              <w:bottom w:val="nil"/>
            </w:tcBorders>
            <w:vAlign w:val="bottom"/>
          </w:tcPr>
          <w:p w:rsidR="001F7E13" w:rsidRDefault="001F7E13">
            <w:pPr>
              <w:pStyle w:val="ConsPlusNormal"/>
              <w:jc w:val="center"/>
            </w:pPr>
            <w:r>
              <w:t>25</w:t>
            </w:r>
          </w:p>
        </w:tc>
        <w:tc>
          <w:tcPr>
            <w:tcW w:w="1474" w:type="dxa"/>
            <w:tcBorders>
              <w:top w:val="nil"/>
              <w:bottom w:val="nil"/>
            </w:tcBorders>
            <w:vAlign w:val="bottom"/>
          </w:tcPr>
          <w:p w:rsidR="001F7E13" w:rsidRDefault="001F7E13">
            <w:pPr>
              <w:pStyle w:val="ConsPlusNormal"/>
              <w:jc w:val="center"/>
            </w:pPr>
            <w:r>
              <w:t>25</w:t>
            </w:r>
          </w:p>
        </w:tc>
      </w:tr>
      <w:tr w:rsidR="001F7E13">
        <w:tc>
          <w:tcPr>
            <w:tcW w:w="6009" w:type="dxa"/>
          </w:tcPr>
          <w:p w:rsidR="001F7E13" w:rsidRDefault="001F7E13">
            <w:pPr>
              <w:pStyle w:val="ConsPlusNormal"/>
              <w:jc w:val="both"/>
            </w:pPr>
            <w:r>
              <w:t xml:space="preserve">свыше 50 </w:t>
            </w:r>
            <w:proofErr w:type="spellStart"/>
            <w:r>
              <w:t>л.с</w:t>
            </w:r>
            <w:proofErr w:type="spellEnd"/>
            <w:r>
              <w:t>. (свыше 36,77 кВт)</w:t>
            </w:r>
          </w:p>
        </w:tc>
        <w:tc>
          <w:tcPr>
            <w:tcW w:w="1587" w:type="dxa"/>
            <w:tcBorders>
              <w:top w:val="nil"/>
            </w:tcBorders>
            <w:vAlign w:val="bottom"/>
          </w:tcPr>
          <w:p w:rsidR="001F7E13" w:rsidRDefault="001F7E13">
            <w:pPr>
              <w:pStyle w:val="ConsPlusNormal"/>
              <w:jc w:val="center"/>
            </w:pPr>
            <w:r>
              <w:t>50</w:t>
            </w:r>
          </w:p>
        </w:tc>
        <w:tc>
          <w:tcPr>
            <w:tcW w:w="1474" w:type="dxa"/>
            <w:tcBorders>
              <w:top w:val="nil"/>
            </w:tcBorders>
            <w:vAlign w:val="bottom"/>
          </w:tcPr>
          <w:p w:rsidR="001F7E13" w:rsidRDefault="001F7E13">
            <w:pPr>
              <w:pStyle w:val="ConsPlusNormal"/>
              <w:jc w:val="center"/>
            </w:pPr>
            <w:r>
              <w:t>50</w:t>
            </w:r>
          </w:p>
        </w:tc>
      </w:tr>
      <w:tr w:rsidR="001F7E13">
        <w:tc>
          <w:tcPr>
            <w:tcW w:w="6009" w:type="dxa"/>
          </w:tcPr>
          <w:p w:rsidR="001F7E13" w:rsidRDefault="001F7E13">
            <w:pPr>
              <w:pStyle w:val="ConsPlusNormal"/>
              <w:jc w:val="both"/>
            </w:pPr>
            <w:r>
              <w:t>7. Катера, моторные лодки и другие водные транспортные средства с мощностью двигателя (с каждой лошадиной силы):</w:t>
            </w:r>
          </w:p>
        </w:tc>
        <w:tc>
          <w:tcPr>
            <w:tcW w:w="1587" w:type="dxa"/>
            <w:tcBorders>
              <w:bottom w:val="nil"/>
            </w:tcBorders>
            <w:vAlign w:val="bottom"/>
          </w:tcPr>
          <w:p w:rsidR="001F7E13" w:rsidRDefault="001F7E13">
            <w:pPr>
              <w:pStyle w:val="ConsPlusNormal"/>
            </w:pPr>
          </w:p>
        </w:tc>
        <w:tc>
          <w:tcPr>
            <w:tcW w:w="1474" w:type="dxa"/>
            <w:tcBorders>
              <w:bottom w:val="nil"/>
            </w:tcBorders>
            <w:vAlign w:val="bottom"/>
          </w:tcPr>
          <w:p w:rsidR="001F7E13" w:rsidRDefault="001F7E13">
            <w:pPr>
              <w:pStyle w:val="ConsPlusNormal"/>
            </w:pPr>
          </w:p>
        </w:tc>
      </w:tr>
      <w:tr w:rsidR="001F7E13">
        <w:tblPrEx>
          <w:tblBorders>
            <w:insideH w:val="nil"/>
          </w:tblBorders>
        </w:tblPrEx>
        <w:tc>
          <w:tcPr>
            <w:tcW w:w="6009" w:type="dxa"/>
          </w:tcPr>
          <w:p w:rsidR="001F7E13" w:rsidRDefault="001F7E13">
            <w:pPr>
              <w:pStyle w:val="ConsPlusNormal"/>
              <w:jc w:val="both"/>
            </w:pPr>
            <w:r>
              <w:t xml:space="preserve">до 100 </w:t>
            </w:r>
            <w:proofErr w:type="spellStart"/>
            <w:r>
              <w:t>л.с</w:t>
            </w:r>
            <w:proofErr w:type="spellEnd"/>
            <w:r>
              <w:t>. (до 73,55 кВт) включительно</w:t>
            </w:r>
          </w:p>
        </w:tc>
        <w:tc>
          <w:tcPr>
            <w:tcW w:w="1587" w:type="dxa"/>
            <w:tcBorders>
              <w:top w:val="nil"/>
              <w:bottom w:val="nil"/>
            </w:tcBorders>
            <w:vAlign w:val="bottom"/>
          </w:tcPr>
          <w:p w:rsidR="001F7E13" w:rsidRDefault="001F7E13">
            <w:pPr>
              <w:pStyle w:val="ConsPlusNormal"/>
              <w:jc w:val="center"/>
            </w:pPr>
            <w:r>
              <w:t>13</w:t>
            </w:r>
          </w:p>
        </w:tc>
        <w:tc>
          <w:tcPr>
            <w:tcW w:w="1474" w:type="dxa"/>
            <w:tcBorders>
              <w:top w:val="nil"/>
              <w:bottom w:val="nil"/>
            </w:tcBorders>
            <w:vAlign w:val="bottom"/>
          </w:tcPr>
          <w:p w:rsidR="001F7E13" w:rsidRDefault="001F7E13">
            <w:pPr>
              <w:pStyle w:val="ConsPlusNormal"/>
              <w:jc w:val="center"/>
            </w:pPr>
            <w:r>
              <w:t>16</w:t>
            </w:r>
          </w:p>
        </w:tc>
      </w:tr>
      <w:tr w:rsidR="001F7E13">
        <w:tc>
          <w:tcPr>
            <w:tcW w:w="6009" w:type="dxa"/>
          </w:tcPr>
          <w:p w:rsidR="001F7E13" w:rsidRDefault="001F7E13">
            <w:pPr>
              <w:pStyle w:val="ConsPlusNormal"/>
              <w:jc w:val="both"/>
            </w:pPr>
            <w:r>
              <w:t xml:space="preserve">свыше 100 </w:t>
            </w:r>
            <w:proofErr w:type="spellStart"/>
            <w:r>
              <w:t>л.с</w:t>
            </w:r>
            <w:proofErr w:type="spellEnd"/>
            <w:r>
              <w:t>. (свыше 73,55 кВт)</w:t>
            </w:r>
          </w:p>
        </w:tc>
        <w:tc>
          <w:tcPr>
            <w:tcW w:w="1587" w:type="dxa"/>
            <w:tcBorders>
              <w:top w:val="nil"/>
            </w:tcBorders>
            <w:vAlign w:val="bottom"/>
          </w:tcPr>
          <w:p w:rsidR="001F7E13" w:rsidRDefault="001F7E13">
            <w:pPr>
              <w:pStyle w:val="ConsPlusNormal"/>
              <w:jc w:val="center"/>
            </w:pPr>
            <w:r>
              <w:t>200</w:t>
            </w:r>
          </w:p>
        </w:tc>
        <w:tc>
          <w:tcPr>
            <w:tcW w:w="1474" w:type="dxa"/>
            <w:tcBorders>
              <w:top w:val="nil"/>
            </w:tcBorders>
            <w:vAlign w:val="bottom"/>
          </w:tcPr>
          <w:p w:rsidR="001F7E13" w:rsidRDefault="001F7E13">
            <w:pPr>
              <w:pStyle w:val="ConsPlusNormal"/>
              <w:jc w:val="center"/>
            </w:pPr>
            <w:r>
              <w:t>200</w:t>
            </w:r>
          </w:p>
        </w:tc>
      </w:tr>
      <w:tr w:rsidR="001F7E13">
        <w:tc>
          <w:tcPr>
            <w:tcW w:w="6009" w:type="dxa"/>
          </w:tcPr>
          <w:p w:rsidR="001F7E13" w:rsidRDefault="001F7E13">
            <w:pPr>
              <w:pStyle w:val="ConsPlusNormal"/>
              <w:jc w:val="both"/>
            </w:pPr>
            <w:r>
              <w:t>8. Яхты и другие парусно-моторные суда с мощностью двигателя (с каждой лошадиной силы):</w:t>
            </w:r>
          </w:p>
        </w:tc>
        <w:tc>
          <w:tcPr>
            <w:tcW w:w="1587" w:type="dxa"/>
            <w:tcBorders>
              <w:bottom w:val="nil"/>
            </w:tcBorders>
            <w:vAlign w:val="bottom"/>
          </w:tcPr>
          <w:p w:rsidR="001F7E13" w:rsidRDefault="001F7E13">
            <w:pPr>
              <w:pStyle w:val="ConsPlusNormal"/>
            </w:pPr>
          </w:p>
        </w:tc>
        <w:tc>
          <w:tcPr>
            <w:tcW w:w="1474" w:type="dxa"/>
            <w:tcBorders>
              <w:bottom w:val="nil"/>
            </w:tcBorders>
            <w:vAlign w:val="bottom"/>
          </w:tcPr>
          <w:p w:rsidR="001F7E13" w:rsidRDefault="001F7E13">
            <w:pPr>
              <w:pStyle w:val="ConsPlusNormal"/>
            </w:pPr>
          </w:p>
        </w:tc>
      </w:tr>
      <w:tr w:rsidR="001F7E13">
        <w:tblPrEx>
          <w:tblBorders>
            <w:insideH w:val="nil"/>
          </w:tblBorders>
        </w:tblPrEx>
        <w:tc>
          <w:tcPr>
            <w:tcW w:w="6009" w:type="dxa"/>
          </w:tcPr>
          <w:p w:rsidR="001F7E13" w:rsidRDefault="001F7E13">
            <w:pPr>
              <w:pStyle w:val="ConsPlusNormal"/>
              <w:jc w:val="both"/>
            </w:pPr>
            <w:r>
              <w:t xml:space="preserve">до 100 </w:t>
            </w:r>
            <w:proofErr w:type="spellStart"/>
            <w:r>
              <w:t>л.с</w:t>
            </w:r>
            <w:proofErr w:type="spellEnd"/>
            <w:r>
              <w:t>. (до 73,55 кВт) включительно</w:t>
            </w:r>
          </w:p>
        </w:tc>
        <w:tc>
          <w:tcPr>
            <w:tcW w:w="1587" w:type="dxa"/>
            <w:tcBorders>
              <w:top w:val="nil"/>
              <w:bottom w:val="nil"/>
            </w:tcBorders>
            <w:vAlign w:val="bottom"/>
          </w:tcPr>
          <w:p w:rsidR="001F7E13" w:rsidRDefault="001F7E13">
            <w:pPr>
              <w:pStyle w:val="ConsPlusNormal"/>
              <w:jc w:val="center"/>
            </w:pPr>
            <w:r>
              <w:t>200</w:t>
            </w:r>
          </w:p>
        </w:tc>
        <w:tc>
          <w:tcPr>
            <w:tcW w:w="1474" w:type="dxa"/>
            <w:tcBorders>
              <w:top w:val="nil"/>
              <w:bottom w:val="nil"/>
            </w:tcBorders>
            <w:vAlign w:val="bottom"/>
          </w:tcPr>
          <w:p w:rsidR="001F7E13" w:rsidRDefault="001F7E13">
            <w:pPr>
              <w:pStyle w:val="ConsPlusNormal"/>
              <w:jc w:val="center"/>
            </w:pPr>
            <w:r>
              <w:t>200</w:t>
            </w:r>
          </w:p>
        </w:tc>
      </w:tr>
      <w:tr w:rsidR="001F7E13">
        <w:tc>
          <w:tcPr>
            <w:tcW w:w="6009" w:type="dxa"/>
          </w:tcPr>
          <w:p w:rsidR="001F7E13" w:rsidRDefault="001F7E13">
            <w:pPr>
              <w:pStyle w:val="ConsPlusNormal"/>
              <w:jc w:val="both"/>
            </w:pPr>
            <w:r>
              <w:t xml:space="preserve">свыше 100 </w:t>
            </w:r>
            <w:proofErr w:type="spellStart"/>
            <w:r>
              <w:t>л.с</w:t>
            </w:r>
            <w:proofErr w:type="spellEnd"/>
            <w:r>
              <w:t>. (свыше 73,55 кВт)</w:t>
            </w:r>
          </w:p>
        </w:tc>
        <w:tc>
          <w:tcPr>
            <w:tcW w:w="1587" w:type="dxa"/>
            <w:tcBorders>
              <w:top w:val="nil"/>
            </w:tcBorders>
            <w:vAlign w:val="bottom"/>
          </w:tcPr>
          <w:p w:rsidR="001F7E13" w:rsidRDefault="001F7E13">
            <w:pPr>
              <w:pStyle w:val="ConsPlusNormal"/>
              <w:jc w:val="center"/>
            </w:pPr>
            <w:r>
              <w:t>400</w:t>
            </w:r>
          </w:p>
        </w:tc>
        <w:tc>
          <w:tcPr>
            <w:tcW w:w="1474" w:type="dxa"/>
            <w:tcBorders>
              <w:top w:val="nil"/>
            </w:tcBorders>
            <w:vAlign w:val="bottom"/>
          </w:tcPr>
          <w:p w:rsidR="001F7E13" w:rsidRDefault="001F7E13">
            <w:pPr>
              <w:pStyle w:val="ConsPlusNormal"/>
              <w:jc w:val="center"/>
            </w:pPr>
            <w:r>
              <w:t>400</w:t>
            </w:r>
          </w:p>
        </w:tc>
      </w:tr>
      <w:tr w:rsidR="001F7E13">
        <w:tc>
          <w:tcPr>
            <w:tcW w:w="6009" w:type="dxa"/>
          </w:tcPr>
          <w:p w:rsidR="001F7E13" w:rsidRDefault="001F7E13">
            <w:pPr>
              <w:pStyle w:val="ConsPlusNormal"/>
              <w:jc w:val="both"/>
            </w:pPr>
            <w:r>
              <w:t>9. Гидроциклы с мощностью двигателя (с каждой лошадиной силы):</w:t>
            </w:r>
          </w:p>
        </w:tc>
        <w:tc>
          <w:tcPr>
            <w:tcW w:w="1587" w:type="dxa"/>
            <w:tcBorders>
              <w:bottom w:val="nil"/>
            </w:tcBorders>
            <w:vAlign w:val="bottom"/>
          </w:tcPr>
          <w:p w:rsidR="001F7E13" w:rsidRDefault="001F7E13">
            <w:pPr>
              <w:pStyle w:val="ConsPlusNormal"/>
            </w:pPr>
          </w:p>
        </w:tc>
        <w:tc>
          <w:tcPr>
            <w:tcW w:w="1474" w:type="dxa"/>
            <w:tcBorders>
              <w:bottom w:val="nil"/>
            </w:tcBorders>
            <w:vAlign w:val="bottom"/>
          </w:tcPr>
          <w:p w:rsidR="001F7E13" w:rsidRDefault="001F7E13">
            <w:pPr>
              <w:pStyle w:val="ConsPlusNormal"/>
            </w:pPr>
          </w:p>
        </w:tc>
      </w:tr>
      <w:tr w:rsidR="001F7E13">
        <w:tblPrEx>
          <w:tblBorders>
            <w:insideH w:val="nil"/>
          </w:tblBorders>
        </w:tblPrEx>
        <w:tc>
          <w:tcPr>
            <w:tcW w:w="6009" w:type="dxa"/>
          </w:tcPr>
          <w:p w:rsidR="001F7E13" w:rsidRDefault="001F7E13">
            <w:pPr>
              <w:pStyle w:val="ConsPlusNormal"/>
              <w:jc w:val="both"/>
            </w:pPr>
            <w:r>
              <w:t xml:space="preserve">до 100 </w:t>
            </w:r>
            <w:proofErr w:type="spellStart"/>
            <w:r>
              <w:t>л.с</w:t>
            </w:r>
            <w:proofErr w:type="spellEnd"/>
            <w:r>
              <w:t>. (до 73,55 кВт) включительно</w:t>
            </w:r>
          </w:p>
        </w:tc>
        <w:tc>
          <w:tcPr>
            <w:tcW w:w="1587" w:type="dxa"/>
            <w:tcBorders>
              <w:top w:val="nil"/>
              <w:bottom w:val="nil"/>
            </w:tcBorders>
            <w:vAlign w:val="bottom"/>
          </w:tcPr>
          <w:p w:rsidR="001F7E13" w:rsidRDefault="001F7E13">
            <w:pPr>
              <w:pStyle w:val="ConsPlusNormal"/>
              <w:jc w:val="center"/>
            </w:pPr>
            <w:r>
              <w:t>250</w:t>
            </w:r>
          </w:p>
        </w:tc>
        <w:tc>
          <w:tcPr>
            <w:tcW w:w="1474" w:type="dxa"/>
            <w:tcBorders>
              <w:top w:val="nil"/>
              <w:bottom w:val="nil"/>
            </w:tcBorders>
            <w:vAlign w:val="bottom"/>
          </w:tcPr>
          <w:p w:rsidR="001F7E13" w:rsidRDefault="001F7E13">
            <w:pPr>
              <w:pStyle w:val="ConsPlusNormal"/>
              <w:jc w:val="center"/>
            </w:pPr>
            <w:r>
              <w:t>250</w:t>
            </w:r>
          </w:p>
        </w:tc>
      </w:tr>
      <w:tr w:rsidR="001F7E13">
        <w:tc>
          <w:tcPr>
            <w:tcW w:w="6009" w:type="dxa"/>
          </w:tcPr>
          <w:p w:rsidR="001F7E13" w:rsidRDefault="001F7E13">
            <w:pPr>
              <w:pStyle w:val="ConsPlusNormal"/>
              <w:jc w:val="both"/>
            </w:pPr>
            <w:r>
              <w:t xml:space="preserve">свыше 100 </w:t>
            </w:r>
            <w:proofErr w:type="spellStart"/>
            <w:r>
              <w:t>л.с</w:t>
            </w:r>
            <w:proofErr w:type="spellEnd"/>
            <w:r>
              <w:t>. (свыше 73,55 кВт)</w:t>
            </w:r>
          </w:p>
        </w:tc>
        <w:tc>
          <w:tcPr>
            <w:tcW w:w="1587" w:type="dxa"/>
            <w:tcBorders>
              <w:top w:val="nil"/>
            </w:tcBorders>
            <w:vAlign w:val="bottom"/>
          </w:tcPr>
          <w:p w:rsidR="001F7E13" w:rsidRDefault="001F7E13">
            <w:pPr>
              <w:pStyle w:val="ConsPlusNormal"/>
              <w:jc w:val="center"/>
            </w:pPr>
            <w:r>
              <w:t>500</w:t>
            </w:r>
          </w:p>
        </w:tc>
        <w:tc>
          <w:tcPr>
            <w:tcW w:w="1474" w:type="dxa"/>
            <w:tcBorders>
              <w:top w:val="nil"/>
            </w:tcBorders>
            <w:vAlign w:val="bottom"/>
          </w:tcPr>
          <w:p w:rsidR="001F7E13" w:rsidRDefault="001F7E13">
            <w:pPr>
              <w:pStyle w:val="ConsPlusNormal"/>
              <w:jc w:val="center"/>
            </w:pPr>
            <w:r>
              <w:t>500</w:t>
            </w:r>
          </w:p>
        </w:tc>
      </w:tr>
      <w:tr w:rsidR="001F7E13">
        <w:tc>
          <w:tcPr>
            <w:tcW w:w="6009" w:type="dxa"/>
          </w:tcPr>
          <w:p w:rsidR="001F7E13" w:rsidRDefault="001F7E13">
            <w:pPr>
              <w:pStyle w:val="ConsPlusNormal"/>
              <w:jc w:val="both"/>
            </w:pPr>
            <w:r>
              <w:t>10. Несамоходные (буксируемые) суда, для которых определяется валовая вместимость (с каждой регистровой тонны валовой вместимости)</w:t>
            </w:r>
          </w:p>
        </w:tc>
        <w:tc>
          <w:tcPr>
            <w:tcW w:w="1587" w:type="dxa"/>
            <w:vAlign w:val="bottom"/>
          </w:tcPr>
          <w:p w:rsidR="001F7E13" w:rsidRDefault="001F7E13">
            <w:pPr>
              <w:pStyle w:val="ConsPlusNormal"/>
              <w:jc w:val="center"/>
            </w:pPr>
            <w:r>
              <w:t>200</w:t>
            </w:r>
          </w:p>
        </w:tc>
        <w:tc>
          <w:tcPr>
            <w:tcW w:w="1474" w:type="dxa"/>
            <w:vAlign w:val="bottom"/>
          </w:tcPr>
          <w:p w:rsidR="001F7E13" w:rsidRDefault="001F7E13">
            <w:pPr>
              <w:pStyle w:val="ConsPlusNormal"/>
              <w:jc w:val="center"/>
            </w:pPr>
            <w:r>
              <w:t>200</w:t>
            </w:r>
          </w:p>
        </w:tc>
      </w:tr>
      <w:tr w:rsidR="001F7E13">
        <w:tc>
          <w:tcPr>
            <w:tcW w:w="6009" w:type="dxa"/>
          </w:tcPr>
          <w:p w:rsidR="001F7E13" w:rsidRDefault="001F7E13">
            <w:pPr>
              <w:pStyle w:val="ConsPlusNormal"/>
              <w:jc w:val="both"/>
            </w:pPr>
            <w:r>
              <w:t>11. Самолеты, вертолеты и иные воздушные суда, имеющие двигатели (с каждой лошадиной силы)</w:t>
            </w:r>
          </w:p>
        </w:tc>
        <w:tc>
          <w:tcPr>
            <w:tcW w:w="1587" w:type="dxa"/>
            <w:vAlign w:val="bottom"/>
          </w:tcPr>
          <w:p w:rsidR="001F7E13" w:rsidRDefault="001F7E13">
            <w:pPr>
              <w:pStyle w:val="ConsPlusNormal"/>
              <w:jc w:val="center"/>
            </w:pPr>
            <w:r>
              <w:t>250</w:t>
            </w:r>
          </w:p>
        </w:tc>
        <w:tc>
          <w:tcPr>
            <w:tcW w:w="1474" w:type="dxa"/>
            <w:vAlign w:val="bottom"/>
          </w:tcPr>
          <w:p w:rsidR="001F7E13" w:rsidRDefault="001F7E13">
            <w:pPr>
              <w:pStyle w:val="ConsPlusNormal"/>
              <w:jc w:val="center"/>
            </w:pPr>
            <w:r>
              <w:t>250</w:t>
            </w:r>
          </w:p>
        </w:tc>
      </w:tr>
      <w:tr w:rsidR="001F7E13">
        <w:tc>
          <w:tcPr>
            <w:tcW w:w="6009" w:type="dxa"/>
          </w:tcPr>
          <w:p w:rsidR="001F7E13" w:rsidRDefault="001F7E13">
            <w:pPr>
              <w:pStyle w:val="ConsPlusNormal"/>
              <w:jc w:val="both"/>
            </w:pPr>
            <w:r>
              <w:t>12. Самолеты, имеющие реактивные двигатели (с каждого килограмма силы тяги)</w:t>
            </w:r>
          </w:p>
        </w:tc>
        <w:tc>
          <w:tcPr>
            <w:tcW w:w="1587" w:type="dxa"/>
            <w:vAlign w:val="bottom"/>
          </w:tcPr>
          <w:p w:rsidR="001F7E13" w:rsidRDefault="001F7E13">
            <w:pPr>
              <w:pStyle w:val="ConsPlusNormal"/>
              <w:jc w:val="center"/>
            </w:pPr>
            <w:r>
              <w:t>200</w:t>
            </w:r>
          </w:p>
        </w:tc>
        <w:tc>
          <w:tcPr>
            <w:tcW w:w="1474" w:type="dxa"/>
            <w:vAlign w:val="bottom"/>
          </w:tcPr>
          <w:p w:rsidR="001F7E13" w:rsidRDefault="001F7E13">
            <w:pPr>
              <w:pStyle w:val="ConsPlusNormal"/>
              <w:jc w:val="center"/>
            </w:pPr>
            <w:r>
              <w:t>200</w:t>
            </w:r>
          </w:p>
        </w:tc>
      </w:tr>
      <w:tr w:rsidR="001F7E13">
        <w:tc>
          <w:tcPr>
            <w:tcW w:w="6009" w:type="dxa"/>
          </w:tcPr>
          <w:p w:rsidR="001F7E13" w:rsidRDefault="001F7E13">
            <w:pPr>
              <w:pStyle w:val="ConsPlusNormal"/>
              <w:jc w:val="both"/>
            </w:pPr>
            <w:r>
              <w:t>13. Другие водные и воздушные транспортные средства, не имеющие двигателей (с единицы транспортного средства)</w:t>
            </w:r>
          </w:p>
        </w:tc>
        <w:tc>
          <w:tcPr>
            <w:tcW w:w="1587" w:type="dxa"/>
            <w:vAlign w:val="bottom"/>
          </w:tcPr>
          <w:p w:rsidR="001F7E13" w:rsidRDefault="001F7E13">
            <w:pPr>
              <w:pStyle w:val="ConsPlusNormal"/>
              <w:jc w:val="center"/>
            </w:pPr>
            <w:r>
              <w:t>2000</w:t>
            </w:r>
          </w:p>
        </w:tc>
        <w:tc>
          <w:tcPr>
            <w:tcW w:w="1474" w:type="dxa"/>
            <w:vAlign w:val="bottom"/>
          </w:tcPr>
          <w:p w:rsidR="001F7E13" w:rsidRDefault="001F7E13">
            <w:pPr>
              <w:pStyle w:val="ConsPlusNormal"/>
              <w:jc w:val="center"/>
            </w:pPr>
            <w:r>
              <w:t>2000</w:t>
            </w:r>
          </w:p>
        </w:tc>
      </w:tr>
    </w:tbl>
    <w:p w:rsidR="001F7E13" w:rsidRPr="001F7E13" w:rsidRDefault="001F7E13" w:rsidP="001F7E13">
      <w:pPr>
        <w:pStyle w:val="ConsPlusNormal"/>
        <w:ind w:firstLine="540"/>
      </w:pPr>
      <w:r w:rsidRPr="001F7E13">
        <w:rPr>
          <w:rFonts w:ascii="Times New Roman" w:hAnsi="Times New Roman" w:cs="Times New Roman"/>
          <w:sz w:val="24"/>
          <w:szCs w:val="24"/>
        </w:rPr>
        <w:t xml:space="preserve">б) </w:t>
      </w:r>
      <w:hyperlink r:id="rId29" w:history="1">
        <w:r w:rsidRPr="001F7E13">
          <w:rPr>
            <w:rFonts w:ascii="Times New Roman" w:hAnsi="Times New Roman" w:cs="Times New Roman"/>
            <w:sz w:val="24"/>
            <w:szCs w:val="24"/>
          </w:rPr>
          <w:t>часть третью</w:t>
        </w:r>
      </w:hyperlink>
      <w:r w:rsidRPr="001F7E13">
        <w:rPr>
          <w:rFonts w:ascii="Times New Roman" w:hAnsi="Times New Roman" w:cs="Times New Roman"/>
          <w:sz w:val="24"/>
          <w:szCs w:val="24"/>
        </w:rPr>
        <w:t xml:space="preserve"> признать утратившей силу;</w:t>
      </w:r>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 xml:space="preserve">5) в </w:t>
      </w:r>
      <w:hyperlink r:id="rId30" w:history="1">
        <w:r w:rsidRPr="001F7E13">
          <w:rPr>
            <w:rFonts w:ascii="Times New Roman" w:hAnsi="Times New Roman" w:cs="Times New Roman"/>
            <w:sz w:val="24"/>
            <w:szCs w:val="24"/>
          </w:rPr>
          <w:t>пункте 1 статьи 21</w:t>
        </w:r>
      </w:hyperlink>
      <w:r w:rsidRPr="001F7E13">
        <w:rPr>
          <w:rFonts w:ascii="Times New Roman" w:hAnsi="Times New Roman" w:cs="Times New Roman"/>
          <w:sz w:val="24"/>
          <w:szCs w:val="24"/>
        </w:rPr>
        <w:t xml:space="preserve"> слова "в бюджет Республики Карелия и местные бюджеты" заменить словами "в части сумм, подлежащих зачислению в бюджет Республики Карелия и местные бюджеты</w:t>
      </w:r>
      <w:proofErr w:type="gramStart"/>
      <w:r w:rsidRPr="001F7E13">
        <w:rPr>
          <w:rFonts w:ascii="Times New Roman" w:hAnsi="Times New Roman" w:cs="Times New Roman"/>
          <w:sz w:val="24"/>
          <w:szCs w:val="24"/>
        </w:rPr>
        <w:t>,"</w:t>
      </w:r>
      <w:proofErr w:type="gramEnd"/>
      <w:r w:rsidRPr="001F7E13">
        <w:rPr>
          <w:rFonts w:ascii="Times New Roman" w:hAnsi="Times New Roman" w:cs="Times New Roman"/>
          <w:sz w:val="24"/>
          <w:szCs w:val="24"/>
        </w:rPr>
        <w:t>.</w:t>
      </w:r>
    </w:p>
    <w:p w:rsidR="001F7E13" w:rsidRPr="001F7E13" w:rsidRDefault="001F7E13">
      <w:pPr>
        <w:pStyle w:val="ConsPlusNormal"/>
        <w:jc w:val="both"/>
        <w:rPr>
          <w:rFonts w:ascii="Times New Roman" w:hAnsi="Times New Roman" w:cs="Times New Roman"/>
          <w:sz w:val="24"/>
          <w:szCs w:val="24"/>
        </w:rPr>
      </w:pPr>
    </w:p>
    <w:p w:rsidR="001F7E13" w:rsidRPr="001F7E13" w:rsidRDefault="001F7E13" w:rsidP="001F7E13">
      <w:pPr>
        <w:pStyle w:val="ConsPlusNormal"/>
        <w:ind w:firstLine="540"/>
        <w:jc w:val="both"/>
        <w:outlineLvl w:val="0"/>
        <w:rPr>
          <w:rFonts w:ascii="Times New Roman" w:hAnsi="Times New Roman" w:cs="Times New Roman"/>
          <w:sz w:val="24"/>
          <w:szCs w:val="24"/>
        </w:rPr>
      </w:pPr>
      <w:r w:rsidRPr="001F7E13">
        <w:rPr>
          <w:rFonts w:ascii="Times New Roman" w:hAnsi="Times New Roman" w:cs="Times New Roman"/>
          <w:sz w:val="24"/>
          <w:szCs w:val="24"/>
        </w:rPr>
        <w:t>Статья 2</w:t>
      </w:r>
      <w:bookmarkStart w:id="0" w:name="_GoBack"/>
      <w:bookmarkEnd w:id="0"/>
    </w:p>
    <w:p w:rsidR="001F7E13" w:rsidRPr="001F7E13" w:rsidRDefault="001F7E13">
      <w:pPr>
        <w:pStyle w:val="ConsPlusNormal"/>
        <w:ind w:firstLine="540"/>
        <w:jc w:val="both"/>
        <w:rPr>
          <w:rFonts w:ascii="Times New Roman" w:hAnsi="Times New Roman" w:cs="Times New Roman"/>
          <w:sz w:val="24"/>
          <w:szCs w:val="24"/>
        </w:rPr>
      </w:pPr>
      <w:r w:rsidRPr="001F7E13">
        <w:rPr>
          <w:rFonts w:ascii="Times New Roman" w:hAnsi="Times New Roman" w:cs="Times New Roman"/>
          <w:sz w:val="24"/>
          <w:szCs w:val="24"/>
        </w:rPr>
        <w:t>Настоящий Закон вступает в силу с 1 января 2017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1F7E13" w:rsidRPr="001F7E13" w:rsidRDefault="001F7E13">
      <w:pPr>
        <w:pStyle w:val="ConsPlusNormal"/>
        <w:jc w:val="both"/>
        <w:rPr>
          <w:rFonts w:ascii="Times New Roman" w:hAnsi="Times New Roman" w:cs="Times New Roman"/>
          <w:sz w:val="24"/>
          <w:szCs w:val="24"/>
        </w:rPr>
      </w:pPr>
    </w:p>
    <w:p w:rsidR="001F7E13" w:rsidRDefault="001F7E13">
      <w:pPr>
        <w:pStyle w:val="ConsPlusNormal"/>
        <w:jc w:val="right"/>
        <w:rPr>
          <w:rFonts w:ascii="Times New Roman" w:hAnsi="Times New Roman" w:cs="Times New Roman"/>
          <w:i/>
          <w:sz w:val="24"/>
          <w:szCs w:val="24"/>
        </w:rPr>
      </w:pPr>
      <w:r w:rsidRPr="001F7E13">
        <w:rPr>
          <w:rFonts w:ascii="Times New Roman" w:hAnsi="Times New Roman" w:cs="Times New Roman"/>
          <w:i/>
          <w:sz w:val="24"/>
          <w:szCs w:val="24"/>
        </w:rPr>
        <w:t xml:space="preserve">Глава </w:t>
      </w:r>
    </w:p>
    <w:p w:rsidR="001F7E13" w:rsidRPr="001F7E13" w:rsidRDefault="001F7E13">
      <w:pPr>
        <w:pStyle w:val="ConsPlusNormal"/>
        <w:jc w:val="right"/>
        <w:rPr>
          <w:rFonts w:ascii="Times New Roman" w:hAnsi="Times New Roman" w:cs="Times New Roman"/>
          <w:i/>
          <w:sz w:val="24"/>
          <w:szCs w:val="24"/>
        </w:rPr>
      </w:pPr>
      <w:r w:rsidRPr="001F7E13">
        <w:rPr>
          <w:rFonts w:ascii="Times New Roman" w:hAnsi="Times New Roman" w:cs="Times New Roman"/>
          <w:i/>
          <w:sz w:val="24"/>
          <w:szCs w:val="24"/>
        </w:rPr>
        <w:t>Республики Карелия</w:t>
      </w:r>
    </w:p>
    <w:p w:rsidR="001F7E13" w:rsidRPr="001F7E13" w:rsidRDefault="001F7E13">
      <w:pPr>
        <w:pStyle w:val="ConsPlusNormal"/>
        <w:jc w:val="right"/>
        <w:rPr>
          <w:rFonts w:ascii="Times New Roman" w:hAnsi="Times New Roman" w:cs="Times New Roman"/>
          <w:i/>
          <w:sz w:val="24"/>
          <w:szCs w:val="24"/>
        </w:rPr>
      </w:pPr>
      <w:r w:rsidRPr="001F7E13">
        <w:rPr>
          <w:rFonts w:ascii="Times New Roman" w:hAnsi="Times New Roman" w:cs="Times New Roman"/>
          <w:i/>
          <w:sz w:val="24"/>
          <w:szCs w:val="24"/>
        </w:rPr>
        <w:t>А.П.ХУДИЛАЙНЕН</w:t>
      </w:r>
    </w:p>
    <w:p w:rsidR="001F7E13" w:rsidRPr="001F7E13" w:rsidRDefault="001F7E13">
      <w:pPr>
        <w:pStyle w:val="ConsPlusNormal"/>
        <w:rPr>
          <w:rFonts w:ascii="Times New Roman" w:hAnsi="Times New Roman" w:cs="Times New Roman"/>
          <w:sz w:val="24"/>
          <w:szCs w:val="24"/>
        </w:rPr>
      </w:pPr>
      <w:r w:rsidRPr="001F7E13">
        <w:rPr>
          <w:rFonts w:ascii="Times New Roman" w:hAnsi="Times New Roman" w:cs="Times New Roman"/>
          <w:sz w:val="24"/>
          <w:szCs w:val="24"/>
        </w:rPr>
        <w:t>г. Петрозаводск</w:t>
      </w:r>
    </w:p>
    <w:p w:rsidR="001F7E13" w:rsidRPr="001F7E13" w:rsidRDefault="001F7E13">
      <w:pPr>
        <w:pStyle w:val="ConsPlusNormal"/>
        <w:rPr>
          <w:rFonts w:ascii="Times New Roman" w:hAnsi="Times New Roman" w:cs="Times New Roman"/>
          <w:sz w:val="24"/>
          <w:szCs w:val="24"/>
        </w:rPr>
      </w:pPr>
      <w:r w:rsidRPr="001F7E13">
        <w:rPr>
          <w:rFonts w:ascii="Times New Roman" w:hAnsi="Times New Roman" w:cs="Times New Roman"/>
          <w:sz w:val="24"/>
          <w:szCs w:val="24"/>
        </w:rPr>
        <w:t>28 ноября 2016 года</w:t>
      </w:r>
    </w:p>
    <w:p w:rsidR="007C555F" w:rsidRPr="001F7E13" w:rsidRDefault="001F7E13" w:rsidP="001F7E13">
      <w:pPr>
        <w:pStyle w:val="ConsPlusNormal"/>
        <w:rPr>
          <w:rFonts w:ascii="Times New Roman" w:hAnsi="Times New Roman" w:cs="Times New Roman"/>
          <w:sz w:val="24"/>
          <w:szCs w:val="24"/>
        </w:rPr>
      </w:pPr>
      <w:r w:rsidRPr="001F7E13">
        <w:rPr>
          <w:rFonts w:ascii="Times New Roman" w:hAnsi="Times New Roman" w:cs="Times New Roman"/>
          <w:sz w:val="24"/>
          <w:szCs w:val="24"/>
        </w:rPr>
        <w:t>N 2067-ЗРК</w:t>
      </w:r>
    </w:p>
    <w:sectPr w:rsidR="007C555F" w:rsidRPr="001F7E13" w:rsidSect="00BF0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13"/>
    <w:rsid w:val="001F7E13"/>
    <w:rsid w:val="007C5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E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E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7E1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E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E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7E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D8383808440E69CED3E73CCEC9E22728B8F63F8F46D5B4B74F714C950D17B1351625C3E1B85T4M1I" TargetMode="External"/><Relationship Id="rId13" Type="http://schemas.openxmlformats.org/officeDocument/2006/relationships/hyperlink" Target="consultantplus://offline/ref=246D8383808440E69CED207EDA80C92F7789D967F8F0610E1E2BAC499E59DB2C541E3B1E7B148D40TEM1I" TargetMode="External"/><Relationship Id="rId18" Type="http://schemas.openxmlformats.org/officeDocument/2006/relationships/hyperlink" Target="consultantplus://offline/ref=246D8383808440E69CED207EDA80C92F7789D967F8F0610E1E2BAC499E59DB2C541E3B1E7B148D41TEM7I" TargetMode="External"/><Relationship Id="rId26" Type="http://schemas.openxmlformats.org/officeDocument/2006/relationships/hyperlink" Target="consultantplus://offline/ref=246D8383808440E69CED207EDA80C92F7789D967F8F0610E1E2BAC499E59DB2C541E3B1E7B148E46TEM2I" TargetMode="External"/><Relationship Id="rId3" Type="http://schemas.openxmlformats.org/officeDocument/2006/relationships/settings" Target="settings.xml"/><Relationship Id="rId21" Type="http://schemas.openxmlformats.org/officeDocument/2006/relationships/hyperlink" Target="consultantplus://offline/ref=246D8383808440E69CED207EDA80C92F7789D967F8F0610E1E2BAC499E59DB2C541E3B1E7B148E46TEM0I" TargetMode="External"/><Relationship Id="rId7" Type="http://schemas.openxmlformats.org/officeDocument/2006/relationships/hyperlink" Target="consultantplus://offline/ref=246D8383808440E69CED207EDA80C92F7789D967F8F0610E1E2BAC499E59DB2C541E3B1E7B148D47TEM6I" TargetMode="External"/><Relationship Id="rId12" Type="http://schemas.openxmlformats.org/officeDocument/2006/relationships/hyperlink" Target="consultantplus://offline/ref=246D8383808440E69CED207EDA80C92F7789D967F8F0610E1E2BAC499E59DB2C541E3B1E7B148D40TEM0I" TargetMode="External"/><Relationship Id="rId17" Type="http://schemas.openxmlformats.org/officeDocument/2006/relationships/hyperlink" Target="consultantplus://offline/ref=246D8383808440E69CED207EDA80C92F7789D967F8F0610E1E2BAC499E59DB2C541E3B1E7B148D41TEM4I" TargetMode="External"/><Relationship Id="rId25" Type="http://schemas.openxmlformats.org/officeDocument/2006/relationships/hyperlink" Target="consultantplus://offline/ref=246D8383808440E69CED207EDA80C92F7789D967F8F0610E1E2BAC499E59DB2C541E3B1E7B148D44TEM1I" TargetMode="External"/><Relationship Id="rId2" Type="http://schemas.microsoft.com/office/2007/relationships/stylesWithEffects" Target="stylesWithEffects.xml"/><Relationship Id="rId16" Type="http://schemas.openxmlformats.org/officeDocument/2006/relationships/hyperlink" Target="consultantplus://offline/ref=246D8383808440E69CED207EDA80C92F7789D967F8F0610E1E2BAC499E59DB2C541E3B1E7B148D40TEM0I" TargetMode="External"/><Relationship Id="rId20" Type="http://schemas.openxmlformats.org/officeDocument/2006/relationships/hyperlink" Target="consultantplus://offline/ref=246D8383808440E69CED207EDA80C92F7789D967F8F0610E1E2BAC499E59DB2C541E3B1E7B148D41TEM1I" TargetMode="External"/><Relationship Id="rId29" Type="http://schemas.openxmlformats.org/officeDocument/2006/relationships/hyperlink" Target="consultantplus://offline/ref=246D8383808440E69CED207EDA80C92F7789D967F8F0610E1E2BAC499E59DB2C541E3B1E7B148D41TEMDI" TargetMode="External"/><Relationship Id="rId1" Type="http://schemas.openxmlformats.org/officeDocument/2006/relationships/styles" Target="styles.xml"/><Relationship Id="rId6" Type="http://schemas.openxmlformats.org/officeDocument/2006/relationships/hyperlink" Target="consultantplus://offline/ref=246D8383808440E69CED207EDA80C92F7789D967F8F0610E1E2BAC499E59DB2C541E3B1E7B148D47TEM6I" TargetMode="External"/><Relationship Id="rId11" Type="http://schemas.openxmlformats.org/officeDocument/2006/relationships/hyperlink" Target="consultantplus://offline/ref=246D8383808440E69CED207EDA80C92F7789D967F8F0610E1E2BAC499E59DB2C541E3B1E7B148D43TEM5I" TargetMode="External"/><Relationship Id="rId24" Type="http://schemas.openxmlformats.org/officeDocument/2006/relationships/hyperlink" Target="consultantplus://offline/ref=246D8383808440E69CED207EDA80C92F7789D967F8F0610E1E2BAC499E59DB2C541E3B1E7B148D44E53D5CTFM5I" TargetMode="External"/><Relationship Id="rId32" Type="http://schemas.openxmlformats.org/officeDocument/2006/relationships/theme" Target="theme/theme1.xml"/><Relationship Id="rId5" Type="http://schemas.openxmlformats.org/officeDocument/2006/relationships/hyperlink" Target="consultantplus://offline/ref=246D8383808440E69CED207EDA80C92F7789D967F8F0610E1E2BAC499E59DB2CT5M4I" TargetMode="External"/><Relationship Id="rId15" Type="http://schemas.openxmlformats.org/officeDocument/2006/relationships/hyperlink" Target="consultantplus://offline/ref=246D8383808440E69CED207EDA80C92F7789D967F8F0610E1E2BAC499E59DB2C541E3B1E7B148D40TEMDI" TargetMode="External"/><Relationship Id="rId23" Type="http://schemas.openxmlformats.org/officeDocument/2006/relationships/hyperlink" Target="consultantplus://offline/ref=246D8383808440E69CED207EDA80C92F7789D967F8F0610E1E2BAC499E59DB2C541E3B1E7B148D44E53D5CTFM6I" TargetMode="External"/><Relationship Id="rId28" Type="http://schemas.openxmlformats.org/officeDocument/2006/relationships/hyperlink" Target="consultantplus://offline/ref=246D8383808440E69CED207EDA80C92F7789D967F8F0610E1E2BAC499E59DB2C541E3B1E7B148D44E43F5FTFM6I" TargetMode="External"/><Relationship Id="rId10" Type="http://schemas.openxmlformats.org/officeDocument/2006/relationships/hyperlink" Target="consultantplus://offline/ref=246D8383808440E69CED207EDA80C92F7789D967F8F0610E1E2BAC499E59DB2C541E3B1E7B148D47TEMCI" TargetMode="External"/><Relationship Id="rId19" Type="http://schemas.openxmlformats.org/officeDocument/2006/relationships/hyperlink" Target="consultantplus://offline/ref=246D8383808440E69CED207EDA80C92F7789D967F8F0610E1E2BAC499E59DB2C541E3B1E7B148D44TEM1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46D8383808440E69CED207EDA80C92F7789D967F8F0610E1E2BAC499E59DB2C541E3B1E7B148D44TEM1I" TargetMode="External"/><Relationship Id="rId14" Type="http://schemas.openxmlformats.org/officeDocument/2006/relationships/hyperlink" Target="consultantplus://offline/ref=246D8383808440E69CED207EDA80C92F7789D967F8F0610E1E2BAC499E59DB2C541E3B1E7B148D40TEM2I" TargetMode="External"/><Relationship Id="rId22" Type="http://schemas.openxmlformats.org/officeDocument/2006/relationships/hyperlink" Target="consultantplus://offline/ref=246D8383808440E69CED207EDA80C92F7789D967F8F0610E1E2BAC499E59DB2C541E3B1E7B148D44E53D5CTFM5I" TargetMode="External"/><Relationship Id="rId27" Type="http://schemas.openxmlformats.org/officeDocument/2006/relationships/hyperlink" Target="consultantplus://offline/ref=246D8383808440E69CED207EDA80C92F7789D967F8F0610E1E2BAC499E59DB2C541E3B1E7B148E44TEM1I" TargetMode="External"/><Relationship Id="rId30" Type="http://schemas.openxmlformats.org/officeDocument/2006/relationships/hyperlink" Target="consultantplus://offline/ref=246D8383808440E69CED207EDA80C92F7789D967F8F0610E1E2BAC499E59DB2C541E3B1E7B148E40TE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2375</Words>
  <Characters>13538</Characters>
  <Application>Microsoft Office Word</Application>
  <DocSecurity>0</DocSecurity>
  <Lines>112</Lines>
  <Paragraphs>31</Paragraphs>
  <ScaleCrop>false</ScaleCrop>
  <Company/>
  <LinksUpToDate>false</LinksUpToDate>
  <CharactersWithSpaces>15882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Ирина Валентиновна</dc:creator>
  <cp:lastModifiedBy>Крюкова Ирина Валентиновна</cp:lastModifiedBy>
  <cp:revision>1</cp:revision>
  <dcterms:created xsi:type="dcterms:W3CDTF">2017-01-25T08:12:00Z</dcterms:created>
  <dcterms:modified xsi:type="dcterms:W3CDTF">2017-01-25T08:16:00Z</dcterms:modified>
</cp:coreProperties>
</file>