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2" w:rsidRPr="00723E22" w:rsidRDefault="00723E22">
      <w:pPr>
        <w:pStyle w:val="ConsPlusNormal"/>
        <w:jc w:val="center"/>
      </w:pPr>
    </w:p>
    <w:p w:rsidR="00723E22" w:rsidRPr="00723E22" w:rsidRDefault="00723E22">
      <w:pPr>
        <w:pStyle w:val="ConsPlusTitle"/>
        <w:jc w:val="center"/>
      </w:pPr>
      <w:r w:rsidRPr="00723E22">
        <w:t>РЕСПУБЛИКА ТЫВА</w:t>
      </w:r>
    </w:p>
    <w:p w:rsidR="00723E22" w:rsidRPr="00723E22" w:rsidRDefault="00723E22">
      <w:pPr>
        <w:pStyle w:val="ConsPlusTitle"/>
        <w:jc w:val="center"/>
      </w:pPr>
    </w:p>
    <w:p w:rsidR="00723E22" w:rsidRPr="00723E22" w:rsidRDefault="00723E22">
      <w:pPr>
        <w:pStyle w:val="ConsPlusTitle"/>
        <w:jc w:val="center"/>
      </w:pPr>
      <w:r w:rsidRPr="00723E22">
        <w:t>ЗАКОН</w:t>
      </w:r>
    </w:p>
    <w:p w:rsidR="00723E22" w:rsidRPr="00723E22" w:rsidRDefault="00723E22">
      <w:pPr>
        <w:pStyle w:val="ConsPlusTitle"/>
        <w:jc w:val="center"/>
      </w:pPr>
    </w:p>
    <w:p w:rsidR="00723E22" w:rsidRPr="00723E22" w:rsidRDefault="00723E22">
      <w:pPr>
        <w:pStyle w:val="ConsPlusTitle"/>
        <w:jc w:val="center"/>
      </w:pPr>
      <w:r w:rsidRPr="00723E22">
        <w:t xml:space="preserve">О ВНЕСЕНИИ ИЗМЕНЕНИЙ В </w:t>
      </w:r>
      <w:proofErr w:type="gramStart"/>
      <w:r w:rsidRPr="00723E22">
        <w:t>ОТДЕЛЬНЫЕ</w:t>
      </w:r>
      <w:proofErr w:type="gramEnd"/>
    </w:p>
    <w:p w:rsidR="00723E22" w:rsidRPr="00723E22" w:rsidRDefault="00723E22">
      <w:pPr>
        <w:pStyle w:val="ConsPlusTitle"/>
        <w:jc w:val="center"/>
      </w:pPr>
      <w:r w:rsidRPr="00723E22">
        <w:t>ЗАКОНОДАТЕЛЬНЫЕ АКТЫ В СФЕРЕ НАЛОГООБЛОЖЕНИЯ</w:t>
      </w:r>
    </w:p>
    <w:p w:rsidR="00723E22" w:rsidRPr="00723E22" w:rsidRDefault="00723E22">
      <w:pPr>
        <w:pStyle w:val="ConsPlusNormal"/>
        <w:jc w:val="right"/>
      </w:pPr>
    </w:p>
    <w:p w:rsidR="00723E22" w:rsidRPr="00723E22" w:rsidRDefault="00723E22">
      <w:pPr>
        <w:pStyle w:val="ConsPlusNormal"/>
        <w:jc w:val="right"/>
      </w:pPr>
      <w:proofErr w:type="gramStart"/>
      <w:r w:rsidRPr="00723E22">
        <w:t>Принят</w:t>
      </w:r>
      <w:proofErr w:type="gramEnd"/>
    </w:p>
    <w:p w:rsidR="00723E22" w:rsidRPr="00723E22" w:rsidRDefault="00723E22">
      <w:pPr>
        <w:pStyle w:val="ConsPlusNormal"/>
        <w:jc w:val="right"/>
      </w:pPr>
      <w:r w:rsidRPr="00723E22">
        <w:t>Верховным Хуралом (парламентом)</w:t>
      </w:r>
    </w:p>
    <w:p w:rsidR="00723E22" w:rsidRPr="00723E22" w:rsidRDefault="00723E22">
      <w:pPr>
        <w:pStyle w:val="ConsPlusNormal"/>
        <w:jc w:val="right"/>
      </w:pPr>
      <w:r w:rsidRPr="00723E22">
        <w:t>Республики Тыва</w:t>
      </w:r>
    </w:p>
    <w:p w:rsidR="00723E22" w:rsidRPr="00723E22" w:rsidRDefault="00723E22">
      <w:pPr>
        <w:pStyle w:val="ConsPlusNormal"/>
        <w:jc w:val="right"/>
      </w:pPr>
      <w:r w:rsidRPr="00723E22">
        <w:t>27 ноября 2015 года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Статья 1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Внести в Закон Республики Тыва от 10 июля 2009 года N 1541 ВХ-2 "О налоговых ставках при применении упрощенной системы налогообложения" (</w:t>
      </w:r>
      <w:proofErr w:type="gramStart"/>
      <w:r w:rsidRPr="00723E22">
        <w:t>Тувинская</w:t>
      </w:r>
      <w:proofErr w:type="gramEnd"/>
      <w:r w:rsidRPr="00723E22">
        <w:t xml:space="preserve"> правда, 2009, 6 августа; 2010, 13 ноября; 2013, 2 ноября; </w:t>
      </w:r>
      <w:proofErr w:type="spellStart"/>
      <w:r w:rsidRPr="00723E22">
        <w:t>Шын</w:t>
      </w:r>
      <w:proofErr w:type="spellEnd"/>
      <w:r w:rsidRPr="00723E22">
        <w:t xml:space="preserve">, 2009, 28 июля; 2010, 13 ноября; Нормативные акты Республики Тыва, 2015, 8 июля; </w:t>
      </w:r>
      <w:proofErr w:type="gramStart"/>
      <w:r w:rsidRPr="00723E22">
        <w:t>Официальный интернет-портал правовой информации (www.pravo.gov.ru), 2015, 1 июля, N 1700201507010010) следующие изменения:</w:t>
      </w:r>
      <w:proofErr w:type="gramEnd"/>
    </w:p>
    <w:p w:rsidR="00723E22" w:rsidRPr="00723E22" w:rsidRDefault="00723E22" w:rsidP="00723E22">
      <w:pPr>
        <w:pStyle w:val="ConsPlusNormal"/>
        <w:ind w:firstLine="540"/>
        <w:jc w:val="both"/>
      </w:pPr>
      <w:bookmarkStart w:id="0" w:name="P22"/>
      <w:bookmarkEnd w:id="0"/>
      <w:r w:rsidRPr="00723E22">
        <w:t xml:space="preserve">1) </w:t>
      </w:r>
      <w:hyperlink r:id="rId5" w:history="1">
        <w:r w:rsidRPr="00723E22">
          <w:t>абзац первый статьи 1.1</w:t>
        </w:r>
      </w:hyperlink>
      <w:r w:rsidRPr="00723E22">
        <w:t xml:space="preserve"> после слов "научной </w:t>
      </w:r>
      <w:proofErr w:type="gramStart"/>
      <w:r w:rsidRPr="00723E22">
        <w:t>сферах</w:t>
      </w:r>
      <w:proofErr w:type="gramEnd"/>
      <w:r w:rsidRPr="00723E22">
        <w:t>" дополнить словами ", а также в сфере бытовых услуг населению";</w:t>
      </w:r>
    </w:p>
    <w:p w:rsidR="00723E22" w:rsidRPr="00723E22" w:rsidRDefault="00723E22">
      <w:pPr>
        <w:pStyle w:val="ConsPlusNormal"/>
        <w:ind w:firstLine="540"/>
        <w:jc w:val="both"/>
      </w:pPr>
      <w:bookmarkStart w:id="1" w:name="P26"/>
      <w:bookmarkEnd w:id="1"/>
      <w:r w:rsidRPr="00723E22">
        <w:t xml:space="preserve">2) </w:t>
      </w:r>
      <w:hyperlink r:id="rId6" w:history="1">
        <w:r w:rsidRPr="00723E22">
          <w:t>дополнить</w:t>
        </w:r>
      </w:hyperlink>
      <w:r w:rsidRPr="00723E22">
        <w:t xml:space="preserve"> статьей 1.2 следующего содержания: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"Статья 1.2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proofErr w:type="gramStart"/>
      <w:r w:rsidRPr="00723E22">
        <w:t>На территории Республики Тыва в случае, если объектом налогообложения являются доходы, в соответствии с пунктом 1 статьи 346.20 Налогового кодекса Российской Федерации применяется налоговая ставка в размере 4 процентов по упрощенной системе налогообложения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деятельности:</w:t>
      </w:r>
      <w:proofErr w:type="gramEnd"/>
    </w:p>
    <w:p w:rsidR="00723E22" w:rsidRPr="00723E22" w:rsidRDefault="00723E22">
      <w:pPr>
        <w:pStyle w:val="ConsPlusNormal"/>
        <w:ind w:firstLine="540"/>
        <w:jc w:val="both"/>
      </w:pPr>
      <w:r w:rsidRPr="00723E22">
        <w:t>а) сельское хозяйство, охота и предоставление услуг в этих областях;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б) рыболовство, рыбоводство и оказание услуг в этих областях;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 xml:space="preserve">в) производство пищевых продуктов, включая напитки, за исключением производства дистиллированных алкогольных напитков и производства этилового спирта из </w:t>
      </w:r>
      <w:proofErr w:type="spellStart"/>
      <w:r w:rsidRPr="00723E22">
        <w:t>сброженных</w:t>
      </w:r>
      <w:proofErr w:type="spellEnd"/>
      <w:r w:rsidRPr="00723E22">
        <w:t xml:space="preserve"> материалов;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г) текстильное производство;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д) производство одежды; выделка и крашение меха;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е) производство кожи, изделий из кожи и производство обуви;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ж) производство прочих неметаллических минеральных продуктов;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з) производство готовых металлических изделий;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и) производство мебели;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к) услуги по удалению сточных вод и отходов, улучшению санитарного состояния и аналогичные услуги;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л) обработка древесины и производство изделий из дерева и пробки, кроме мебели;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м) деятельность, связанная с использованием вычислительной техники и информационных технологий;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н) издательское дело, полиграфическая промышленность и воспроизведение печатных материалов</w:t>
      </w:r>
      <w:proofErr w:type="gramStart"/>
      <w:r w:rsidRPr="00723E22">
        <w:t>.";</w:t>
      </w:r>
      <w:proofErr w:type="gramEnd"/>
    </w:p>
    <w:p w:rsidR="00723E22" w:rsidRPr="00723E22" w:rsidRDefault="00723E22">
      <w:pPr>
        <w:pStyle w:val="ConsPlusNormal"/>
        <w:ind w:firstLine="540"/>
        <w:jc w:val="both"/>
      </w:pPr>
      <w:r w:rsidRPr="00723E22">
        <w:t>3) приложение дополнить разделом IV следующего содержания:</w:t>
      </w:r>
    </w:p>
    <w:p w:rsidR="00723E22" w:rsidRPr="00723E22" w:rsidRDefault="00723E22">
      <w:pPr>
        <w:pStyle w:val="ConsPlusNormal"/>
        <w:jc w:val="center"/>
      </w:pPr>
    </w:p>
    <w:p w:rsidR="00723E22" w:rsidRPr="00723E22" w:rsidRDefault="00723E22">
      <w:pPr>
        <w:pStyle w:val="ConsPlusNormal"/>
        <w:jc w:val="center"/>
      </w:pPr>
      <w:r w:rsidRPr="00723E22">
        <w:t>"Раздел IV. Сфера бытовых услуг населению</w:t>
      </w:r>
    </w:p>
    <w:p w:rsidR="00723E22" w:rsidRPr="00723E22" w:rsidRDefault="00723E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8"/>
        <w:gridCol w:w="912"/>
      </w:tblGrid>
      <w:tr w:rsidR="00723E22" w:rsidRPr="00723E22">
        <w:tc>
          <w:tcPr>
            <w:tcW w:w="660" w:type="dxa"/>
            <w:vAlign w:val="center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12.</w:t>
            </w:r>
          </w:p>
        </w:tc>
        <w:tc>
          <w:tcPr>
            <w:tcW w:w="6408" w:type="dxa"/>
            <w:vAlign w:val="center"/>
          </w:tcPr>
          <w:p w:rsidR="00723E22" w:rsidRPr="00723E22" w:rsidRDefault="00723E22">
            <w:pPr>
              <w:pStyle w:val="ConsPlusNormal"/>
            </w:pPr>
            <w:r w:rsidRPr="00723E22">
              <w:t>Деятельность по комплексному обслуживанию помещений</w:t>
            </w:r>
          </w:p>
        </w:tc>
        <w:tc>
          <w:tcPr>
            <w:tcW w:w="912" w:type="dxa"/>
            <w:vAlign w:val="center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81.1</w:t>
            </w:r>
          </w:p>
        </w:tc>
      </w:tr>
      <w:tr w:rsidR="00723E22" w:rsidRPr="00723E22">
        <w:tc>
          <w:tcPr>
            <w:tcW w:w="6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13.</w:t>
            </w:r>
          </w:p>
        </w:tc>
        <w:tc>
          <w:tcPr>
            <w:tcW w:w="6408" w:type="dxa"/>
          </w:tcPr>
          <w:p w:rsidR="00723E22" w:rsidRPr="00723E22" w:rsidRDefault="00723E22">
            <w:pPr>
              <w:pStyle w:val="ConsPlusNormal"/>
            </w:pPr>
            <w:r w:rsidRPr="00723E22">
              <w:t>Деятельность по чистке и уборке</w:t>
            </w:r>
          </w:p>
        </w:tc>
        <w:tc>
          <w:tcPr>
            <w:tcW w:w="912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81.2</w:t>
            </w:r>
          </w:p>
        </w:tc>
      </w:tr>
    </w:tbl>
    <w:p w:rsidR="00723E22" w:rsidRPr="00723E22" w:rsidRDefault="00723E22">
      <w:pPr>
        <w:pStyle w:val="ConsPlusNormal"/>
        <w:jc w:val="right"/>
      </w:pPr>
      <w:r w:rsidRPr="00723E22">
        <w:t>".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Статья 2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lastRenderedPageBreak/>
        <w:t>Внести в Закон Республики Тыва от 24 ноября 2014 года N 5-ЗРТ "О применении патентной системы налогообложения на территории Республики Тыва" (Нормативные акты Республики Тыва, 2014, 28 ноября; 2015, 8 июля; Официальный интернет-портал правовой информации (www.pravo.gov.ru), 2015, 1 июля, N 1700201507010010) следующие изменения:</w:t>
      </w:r>
    </w:p>
    <w:p w:rsidR="00723E22" w:rsidRPr="00723E22" w:rsidRDefault="00723E22">
      <w:pPr>
        <w:pStyle w:val="ConsPlusNormal"/>
        <w:ind w:firstLine="540"/>
        <w:jc w:val="both"/>
      </w:pPr>
      <w:r w:rsidRPr="00723E22">
        <w:t>1) раздел 1 "Виды предпринимательской деятельности и размеры потенциально возможного к получению индивидуальным предпринимателем годового дохода, устанавливаемые в зависимости от средней численности наемных работников и территории действия патентов" приложения 1 дополнить пунктами 1.44 - 1.59 следующего содержания: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"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05"/>
        <w:gridCol w:w="758"/>
        <w:gridCol w:w="960"/>
        <w:gridCol w:w="960"/>
        <w:gridCol w:w="960"/>
        <w:gridCol w:w="960"/>
        <w:gridCol w:w="960"/>
      </w:tblGrid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1.44.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оказание услуг по забою, транспортировке, перегонке, выпасу скота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121500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109350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98415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1.45.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кожи и изделий из кожи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121500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109350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98415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1.46.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 xml:space="preserve">сбор и заготовка пищевых лесных ресурсов, </w:t>
            </w:r>
            <w:proofErr w:type="spellStart"/>
            <w:r w:rsidRPr="00723E22">
              <w:t>недревесных</w:t>
            </w:r>
            <w:proofErr w:type="spellEnd"/>
            <w:r w:rsidRPr="00723E22">
              <w:t xml:space="preserve"> лесных ресурсов и лекарственных растений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225000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202500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182250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164025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1.47.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сушка, переработка и консервирование фруктов и овощей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225000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202500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182250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164025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1.48.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молочной продукции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270000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243000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218700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196830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1.49.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225000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202500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182250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164025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1.50.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производство хлебобулочных и мучных кондитерских изделий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162000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145800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131220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270000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243000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218700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196830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1.51.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товарное и спортивное рыболовство и рыбоводство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162000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145800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131220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1.52.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лесоводство и прочая лесохозяйственная деятельность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121500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109350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98415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225000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202500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182250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164025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1.53.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деятельность по письменному и устному переводу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162000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145800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131220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270000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243000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218700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196830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1.54.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деятельность по уходу за престарелыми и инвалидами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162000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145800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131220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1.55.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сбор, обработка и утилизация отходов, а также обработка вторичного сырья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121500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109350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98415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225000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202500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182250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164025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1.56.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резка, обработка и отделка камня для памятников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162000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145800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131220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270000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243000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218700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196830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lastRenderedPageBreak/>
              <w:t>1.57.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315000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283500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255150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229635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550000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495000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445500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400950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360855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1.58.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ремонт компьютеров и коммуникационного оборудования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180000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162000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145800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131220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270000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243000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218700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196830</w:t>
            </w:r>
          </w:p>
        </w:tc>
      </w:tr>
      <w:tr w:rsidR="00723E22" w:rsidRPr="00723E22" w:rsidTr="00F7493C">
        <w:tc>
          <w:tcPr>
            <w:tcW w:w="660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1.59.</w:t>
            </w:r>
          </w:p>
        </w:tc>
        <w:tc>
          <w:tcPr>
            <w:tcW w:w="4505" w:type="dxa"/>
            <w:vMerge w:val="restart"/>
          </w:tcPr>
          <w:p w:rsidR="00723E22" w:rsidRPr="00723E22" w:rsidRDefault="00723E22">
            <w:pPr>
              <w:pStyle w:val="ConsPlusNormal"/>
            </w:pPr>
            <w:r w:rsidRPr="00723E2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0 - 5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100000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90000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81000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72900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65610</w:t>
            </w:r>
          </w:p>
        </w:tc>
      </w:tr>
      <w:tr w:rsidR="00723E22" w:rsidRPr="00723E22" w:rsidTr="00F7493C">
        <w:tc>
          <w:tcPr>
            <w:tcW w:w="660" w:type="dxa"/>
            <w:vMerge/>
          </w:tcPr>
          <w:p w:rsidR="00723E22" w:rsidRPr="00723E22" w:rsidRDefault="00723E22"/>
        </w:tc>
        <w:tc>
          <w:tcPr>
            <w:tcW w:w="4505" w:type="dxa"/>
            <w:vMerge/>
          </w:tcPr>
          <w:p w:rsidR="00723E22" w:rsidRPr="00723E22" w:rsidRDefault="00723E22"/>
        </w:tc>
        <w:tc>
          <w:tcPr>
            <w:tcW w:w="758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6 - 15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400000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360000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324000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291600</w:t>
            </w:r>
          </w:p>
        </w:tc>
        <w:tc>
          <w:tcPr>
            <w:tcW w:w="960" w:type="dxa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262440</w:t>
            </w:r>
          </w:p>
        </w:tc>
      </w:tr>
    </w:tbl>
    <w:p w:rsidR="00723E22" w:rsidRPr="00723E22" w:rsidRDefault="00723E22">
      <w:pPr>
        <w:pStyle w:val="ConsPlusNormal"/>
        <w:jc w:val="right"/>
      </w:pPr>
      <w:r w:rsidRPr="00723E22">
        <w:t>";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bookmarkStart w:id="2" w:name="P291"/>
      <w:bookmarkEnd w:id="2"/>
      <w:r w:rsidRPr="00723E22">
        <w:t xml:space="preserve">2) </w:t>
      </w:r>
      <w:hyperlink r:id="rId7" w:history="1">
        <w:r w:rsidRPr="00723E22">
          <w:t>приложение 2</w:t>
        </w:r>
      </w:hyperlink>
      <w:r w:rsidRPr="00723E22">
        <w:t xml:space="preserve"> изложить в следующей редакции: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jc w:val="right"/>
      </w:pPr>
      <w:r w:rsidRPr="00723E22">
        <w:t>"Приложение 2</w:t>
      </w:r>
    </w:p>
    <w:p w:rsidR="00723E22" w:rsidRPr="00723E22" w:rsidRDefault="00723E22">
      <w:pPr>
        <w:pStyle w:val="ConsPlusNormal"/>
        <w:jc w:val="right"/>
      </w:pPr>
      <w:r w:rsidRPr="00723E22">
        <w:t>к Закону Республики Тыва</w:t>
      </w:r>
    </w:p>
    <w:p w:rsidR="00723E22" w:rsidRPr="00723E22" w:rsidRDefault="00723E22">
      <w:pPr>
        <w:pStyle w:val="ConsPlusNormal"/>
        <w:jc w:val="right"/>
      </w:pPr>
      <w:r w:rsidRPr="00723E22">
        <w:t>"О применении патентной системы</w:t>
      </w:r>
    </w:p>
    <w:p w:rsidR="00723E22" w:rsidRPr="00723E22" w:rsidRDefault="00723E22">
      <w:pPr>
        <w:pStyle w:val="ConsPlusNormal"/>
        <w:jc w:val="right"/>
      </w:pPr>
      <w:r w:rsidRPr="00723E22">
        <w:t>налогообложения на территории</w:t>
      </w:r>
    </w:p>
    <w:p w:rsidR="00723E22" w:rsidRPr="00723E22" w:rsidRDefault="00723E22">
      <w:pPr>
        <w:pStyle w:val="ConsPlusNormal"/>
        <w:jc w:val="right"/>
      </w:pPr>
      <w:r w:rsidRPr="00723E22">
        <w:t>Республики Тыва"</w:t>
      </w:r>
    </w:p>
    <w:p w:rsidR="00723E22" w:rsidRPr="00723E22" w:rsidRDefault="00723E22">
      <w:pPr>
        <w:pStyle w:val="ConsPlusNormal"/>
        <w:jc w:val="center"/>
      </w:pPr>
    </w:p>
    <w:p w:rsidR="00723E22" w:rsidRPr="00723E22" w:rsidRDefault="00723E22">
      <w:pPr>
        <w:pStyle w:val="ConsPlusTitle"/>
        <w:jc w:val="center"/>
      </w:pPr>
      <w:r w:rsidRPr="00723E22">
        <w:t>ПЕРЕЧЕНЬ</w:t>
      </w:r>
    </w:p>
    <w:p w:rsidR="00723E22" w:rsidRPr="00723E22" w:rsidRDefault="00723E22">
      <w:pPr>
        <w:pStyle w:val="ConsPlusTitle"/>
        <w:jc w:val="center"/>
      </w:pPr>
      <w:r w:rsidRPr="00723E22">
        <w:t xml:space="preserve">ВИДОВ ДЕЯТЕЛЬНОСТИ, ПРИ КОТОРЫХ ПРИМЕНЯЕТСЯ </w:t>
      </w:r>
      <w:proofErr w:type="gramStart"/>
      <w:r w:rsidRPr="00723E22">
        <w:t>НАЛОГОВАЯ</w:t>
      </w:r>
      <w:proofErr w:type="gramEnd"/>
    </w:p>
    <w:p w:rsidR="00723E22" w:rsidRPr="00723E22" w:rsidRDefault="00723E22">
      <w:pPr>
        <w:pStyle w:val="ConsPlusTitle"/>
        <w:jc w:val="center"/>
      </w:pPr>
      <w:r w:rsidRPr="00723E22">
        <w:t>СТАВКА В РАЗМЕРЕ 0 ПРОЦЕНТОВ ПРИ ПАТЕНТНОЙ СИСТЕМЕ</w:t>
      </w:r>
    </w:p>
    <w:p w:rsidR="00723E22" w:rsidRPr="00723E22" w:rsidRDefault="00723E22">
      <w:pPr>
        <w:pStyle w:val="ConsPlusTitle"/>
        <w:jc w:val="center"/>
      </w:pPr>
      <w:r w:rsidRPr="00723E22">
        <w:t xml:space="preserve">НАЛОГООБЛОЖЕНИЯ ДЛЯ ВПЕРВЫЕ </w:t>
      </w:r>
      <w:proofErr w:type="gramStart"/>
      <w:r w:rsidRPr="00723E22">
        <w:t>ЗАРЕГИСТРИРОВАННЫХ</w:t>
      </w:r>
      <w:proofErr w:type="gramEnd"/>
    </w:p>
    <w:p w:rsidR="00723E22" w:rsidRPr="00723E22" w:rsidRDefault="00723E22">
      <w:pPr>
        <w:pStyle w:val="ConsPlusTitle"/>
        <w:jc w:val="center"/>
      </w:pPr>
      <w:r w:rsidRPr="00723E22">
        <w:t>ИНДИВИДУАЛЬНЫХ ПРЕДПРИНИМАТЕЛЕЙ И ОСУЩЕСТВЛЯЮЩИХ</w:t>
      </w:r>
    </w:p>
    <w:p w:rsidR="00723E22" w:rsidRPr="00723E22" w:rsidRDefault="00723E22">
      <w:pPr>
        <w:pStyle w:val="ConsPlusTitle"/>
        <w:jc w:val="center"/>
      </w:pPr>
      <w:r w:rsidRPr="00723E22">
        <w:t xml:space="preserve">ПРЕДПРИНИМАТЕЛЬСКУЮ ДЕЯТЕЛЬНОСТЬ В </w:t>
      </w:r>
      <w:proofErr w:type="gramStart"/>
      <w:r w:rsidRPr="00723E22">
        <w:t>ПРОИЗВОДСТВЕННОЙ</w:t>
      </w:r>
      <w:proofErr w:type="gramEnd"/>
      <w:r w:rsidRPr="00723E22">
        <w:t>,</w:t>
      </w:r>
    </w:p>
    <w:p w:rsidR="00723E22" w:rsidRPr="00723E22" w:rsidRDefault="00723E22">
      <w:pPr>
        <w:pStyle w:val="ConsPlusTitle"/>
        <w:jc w:val="center"/>
      </w:pPr>
      <w:proofErr w:type="gramStart"/>
      <w:r w:rsidRPr="00723E22">
        <w:t>СОЦИАЛЬНОЙ</w:t>
      </w:r>
      <w:proofErr w:type="gramEnd"/>
      <w:r w:rsidRPr="00723E22">
        <w:t xml:space="preserve"> И (ИЛИ) НАУЧНОЙ СФЕРАХ,</w:t>
      </w:r>
    </w:p>
    <w:p w:rsidR="00723E22" w:rsidRPr="00723E22" w:rsidRDefault="00723E22">
      <w:pPr>
        <w:pStyle w:val="ConsPlusTitle"/>
        <w:jc w:val="center"/>
      </w:pPr>
      <w:r w:rsidRPr="00723E22">
        <w:t>А ТАКЖЕ В СФЕРЕ БЫТОВЫХ УСЛУГ</w:t>
      </w:r>
    </w:p>
    <w:p w:rsidR="00723E22" w:rsidRPr="00723E22" w:rsidRDefault="00723E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160"/>
      </w:tblGrid>
      <w:tr w:rsidR="00723E22" w:rsidRPr="00723E22">
        <w:tc>
          <w:tcPr>
            <w:tcW w:w="540" w:type="dxa"/>
            <w:vAlign w:val="center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 xml:space="preserve">N </w:t>
            </w:r>
            <w:proofErr w:type="gramStart"/>
            <w:r w:rsidRPr="00723E22">
              <w:t>п</w:t>
            </w:r>
            <w:proofErr w:type="gramEnd"/>
            <w:r w:rsidRPr="00723E22">
              <w:t>/п</w:t>
            </w:r>
          </w:p>
        </w:tc>
        <w:tc>
          <w:tcPr>
            <w:tcW w:w="8160" w:type="dxa"/>
            <w:vAlign w:val="center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Наименование вида деятельности</w:t>
            </w:r>
          </w:p>
        </w:tc>
      </w:tr>
      <w:tr w:rsidR="00723E22" w:rsidRPr="00723E22">
        <w:tc>
          <w:tcPr>
            <w:tcW w:w="8700" w:type="dxa"/>
            <w:gridSpan w:val="2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Раздел I. Производственная сфера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2.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3.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Изготовление изделий народных художественных промыслов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4.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и реставрация ковров и ковровых изделий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5.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Изготовление мебели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6.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proofErr w:type="gramStart"/>
            <w:r w:rsidRPr="00723E22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723E22">
              <w:t>маслосемян</w:t>
            </w:r>
            <w:proofErr w:type="spellEnd"/>
            <w:r w:rsidRPr="00723E22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723E22">
              <w:t xml:space="preserve"> </w:t>
            </w:r>
            <w:proofErr w:type="gramStart"/>
            <w:r w:rsidRPr="00723E22">
              <w:t xml:space="preserve">болезней; изготовление валяной </w:t>
            </w:r>
            <w:r w:rsidRPr="00723E22">
              <w:lastRenderedPageBreak/>
              <w:t>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723E22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lastRenderedPageBreak/>
              <w:t>7.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кожи и изделий из кожи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8.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Консервирование фруктов и овощей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9.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молочной продукции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10.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11.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Производство хлебобулочных и мучных кондитерских изделий</w:t>
            </w:r>
          </w:p>
        </w:tc>
      </w:tr>
      <w:tr w:rsidR="00723E22" w:rsidRPr="00723E22">
        <w:tc>
          <w:tcPr>
            <w:tcW w:w="8700" w:type="dxa"/>
            <w:gridSpan w:val="2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Раздел II. Социальная сфера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12.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Парикмахерские и косметические услуги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13.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Услуги по присмотру и уходу за детьми и больными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14.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Проведение занятий по физической культуре и спорту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15.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Услуги по обучению населения на курсах и по репетиторству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16.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17.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Химическая чистка, крашение и услуги прачечных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18.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Деятельность по уходу за престарелыми и инвалидами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19.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Сбор, обработка и утилизация отходов, а также обработка вторичного сырья</w:t>
            </w:r>
          </w:p>
        </w:tc>
      </w:tr>
      <w:tr w:rsidR="00723E22" w:rsidRPr="00723E22">
        <w:tc>
          <w:tcPr>
            <w:tcW w:w="8700" w:type="dxa"/>
            <w:gridSpan w:val="2"/>
          </w:tcPr>
          <w:p w:rsidR="00723E22" w:rsidRPr="00723E22" w:rsidRDefault="00723E22">
            <w:pPr>
              <w:pStyle w:val="ConsPlusNormal"/>
              <w:jc w:val="center"/>
            </w:pPr>
            <w:r w:rsidRPr="00723E22">
              <w:t>Раздел III. Сфера бытовых услуг населению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20.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Услуги по уборке жилых помещений и ведению домашнего хозяйства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21.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Услуги бань, душевых и саун</w:t>
            </w:r>
          </w:p>
        </w:tc>
      </w:tr>
      <w:tr w:rsidR="00723E22" w:rsidRPr="00723E22">
        <w:tc>
          <w:tcPr>
            <w:tcW w:w="540" w:type="dxa"/>
          </w:tcPr>
          <w:p w:rsidR="00723E22" w:rsidRPr="00723E22" w:rsidRDefault="00723E22">
            <w:pPr>
              <w:pStyle w:val="ConsPlusNormal"/>
              <w:jc w:val="right"/>
            </w:pPr>
            <w:r w:rsidRPr="00723E22">
              <w:t>22.</w:t>
            </w:r>
          </w:p>
        </w:tc>
        <w:tc>
          <w:tcPr>
            <w:tcW w:w="8160" w:type="dxa"/>
          </w:tcPr>
          <w:p w:rsidR="00723E22" w:rsidRPr="00723E22" w:rsidRDefault="00723E22">
            <w:pPr>
              <w:pStyle w:val="ConsPlusNormal"/>
            </w:pPr>
            <w:r w:rsidRPr="00723E22">
              <w:t>Сдача в аренду (наем) жилого помещения, дачи, принадлежащего индивидуальному предпринимателю на праве собственности</w:t>
            </w:r>
          </w:p>
        </w:tc>
      </w:tr>
    </w:tbl>
    <w:p w:rsidR="00723E22" w:rsidRPr="00723E22" w:rsidRDefault="00723E22">
      <w:pPr>
        <w:pStyle w:val="ConsPlusNormal"/>
        <w:jc w:val="right"/>
      </w:pPr>
      <w:r w:rsidRPr="00723E22">
        <w:t>".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Статья 3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Внести в пункт 2 статьи 8 Закона Республики Тыва от 28 ноября 2002 года N 92 ВХ-1 "О транспортном налоге" (</w:t>
      </w:r>
      <w:proofErr w:type="gramStart"/>
      <w:r w:rsidRPr="00723E22">
        <w:t>Тувинская</w:t>
      </w:r>
      <w:proofErr w:type="gramEnd"/>
      <w:r w:rsidRPr="00723E22">
        <w:t xml:space="preserve"> правда, 2002, 30 декабря; 2003, 18 марта; 2004, 27 февраля; 2007, 26 июня; 2008, 6 декабря; 2010, 25 ноября; </w:t>
      </w:r>
      <w:proofErr w:type="spellStart"/>
      <w:r w:rsidRPr="00723E22">
        <w:t>Шын</w:t>
      </w:r>
      <w:proofErr w:type="spellEnd"/>
      <w:r w:rsidRPr="00723E22">
        <w:t xml:space="preserve">, 2004, 27 февраля; 2007, 26 июня; 2008, 16 декабря; </w:t>
      </w:r>
      <w:proofErr w:type="gramStart"/>
      <w:r w:rsidRPr="00723E22">
        <w:t>2010, 25 ноября; Нормативные акты Республики Тыва, 2012, 30 ноября; 2014, 14 ноября; Официальный интернет-портал правовой информации (www.pravo.gov.ru), 2015, 25 ноября, N 1700201511250001) изменение, изложив его в следующей редакции:</w:t>
      </w:r>
      <w:proofErr w:type="gramEnd"/>
    </w:p>
    <w:p w:rsidR="00723E22" w:rsidRPr="00723E22" w:rsidRDefault="00723E22">
      <w:pPr>
        <w:pStyle w:val="ConsPlusNormal"/>
        <w:ind w:firstLine="540"/>
        <w:jc w:val="both"/>
      </w:pPr>
      <w:r w:rsidRPr="00723E22">
        <w:t>"2. Налогоплательщики, являющиеся физическими лицами, уплачивают налог в срок, установленный пунктом 1 статьи 363 Налогового кодекса Российской Федерации</w:t>
      </w:r>
      <w:proofErr w:type="gramStart"/>
      <w:r w:rsidRPr="00723E22">
        <w:t>.".</w:t>
      </w:r>
      <w:proofErr w:type="gramEnd"/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lastRenderedPageBreak/>
        <w:t>Статья 4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ind w:firstLine="540"/>
        <w:jc w:val="both"/>
      </w:pPr>
      <w:r w:rsidRPr="00723E22">
        <w:t>1. Настоящий Закон вступает в силу с 1 января 2016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23E22" w:rsidRPr="00723E22" w:rsidRDefault="00723E22">
      <w:pPr>
        <w:pStyle w:val="ConsPlusNormal"/>
        <w:ind w:firstLine="540"/>
        <w:jc w:val="both"/>
      </w:pPr>
      <w:bookmarkStart w:id="3" w:name="P367"/>
      <w:bookmarkEnd w:id="3"/>
      <w:r w:rsidRPr="00723E22">
        <w:t>2. Пункт 1 статьи 1 настоящего Закона действует до 1 января 2019 года.</w:t>
      </w:r>
    </w:p>
    <w:p w:rsidR="00723E22" w:rsidRPr="00723E22" w:rsidRDefault="00723E22">
      <w:pPr>
        <w:pStyle w:val="ConsPlusNormal"/>
        <w:ind w:firstLine="540"/>
        <w:jc w:val="both"/>
      </w:pPr>
      <w:bookmarkStart w:id="4" w:name="P368"/>
      <w:bookmarkEnd w:id="4"/>
      <w:r w:rsidRPr="00723E22">
        <w:t>3. Пункт 2 статьи 1 и пункт 2 статьи 2 настоящего Закона действуют до 1 января 2021 года.</w:t>
      </w:r>
    </w:p>
    <w:p w:rsidR="00723E22" w:rsidRPr="00723E22" w:rsidRDefault="00723E22">
      <w:pPr>
        <w:pStyle w:val="ConsPlusNormal"/>
        <w:ind w:firstLine="540"/>
        <w:jc w:val="both"/>
      </w:pPr>
    </w:p>
    <w:p w:rsidR="00723E22" w:rsidRPr="00723E22" w:rsidRDefault="00723E22">
      <w:pPr>
        <w:pStyle w:val="ConsPlusNormal"/>
        <w:jc w:val="right"/>
      </w:pPr>
      <w:r w:rsidRPr="00723E22">
        <w:t>Глава Республики Тыва</w:t>
      </w:r>
    </w:p>
    <w:p w:rsidR="00723E22" w:rsidRPr="00723E22" w:rsidRDefault="00723E22">
      <w:pPr>
        <w:pStyle w:val="ConsPlusNormal"/>
        <w:jc w:val="right"/>
      </w:pPr>
      <w:r w:rsidRPr="00723E22">
        <w:t>Ш.КАРА-ООЛ</w:t>
      </w:r>
    </w:p>
    <w:p w:rsidR="00723E22" w:rsidRPr="00723E22" w:rsidRDefault="00723E22">
      <w:pPr>
        <w:pStyle w:val="ConsPlusNormal"/>
        <w:jc w:val="both"/>
      </w:pPr>
      <w:r w:rsidRPr="00723E22">
        <w:t>г. Кызыл</w:t>
      </w:r>
    </w:p>
    <w:p w:rsidR="00723E22" w:rsidRPr="00723E22" w:rsidRDefault="00723E22">
      <w:pPr>
        <w:pStyle w:val="ConsPlusNormal"/>
        <w:jc w:val="both"/>
      </w:pPr>
      <w:r w:rsidRPr="00723E22">
        <w:t>27 ноября 2015 года</w:t>
      </w:r>
    </w:p>
    <w:p w:rsidR="00723E22" w:rsidRPr="00723E22" w:rsidRDefault="00723E22">
      <w:pPr>
        <w:pStyle w:val="ConsPlusNormal"/>
        <w:jc w:val="both"/>
      </w:pPr>
      <w:r>
        <w:t>№</w:t>
      </w:r>
      <w:r w:rsidRPr="00723E22">
        <w:t xml:space="preserve"> 130-ЗРТ</w:t>
      </w:r>
      <w:bookmarkStart w:id="5" w:name="_GoBack"/>
      <w:bookmarkEnd w:id="5"/>
    </w:p>
    <w:sectPr w:rsidR="00723E22" w:rsidRPr="00723E22" w:rsidSect="00723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2"/>
    <w:rsid w:val="00723E22"/>
    <w:rsid w:val="00807AC8"/>
    <w:rsid w:val="00E11B77"/>
    <w:rsid w:val="00F00A0F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C7D9F6C001A6B5CBAAE02A50181282A644D84B7EE3066232F6AD7762AA65708085C78906706D05A75DBQ0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7D9F6C001A6B5CBAAE02A50181282A644D84B7EE3066252F6AD7762AA657Q078H" TargetMode="External"/><Relationship Id="rId5" Type="http://schemas.openxmlformats.org/officeDocument/2006/relationships/hyperlink" Target="consultantplus://offline/ref=D8AC7D9F6C001A6B5CBAAE02A50181282A644D84B7EE3066252F6AD7762AA65708085C78906706D05B75D8Q07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Салчак Аяна Данзыевна</dc:creator>
  <cp:lastModifiedBy>user user user</cp:lastModifiedBy>
  <cp:revision>4</cp:revision>
  <dcterms:created xsi:type="dcterms:W3CDTF">2016-09-14T07:59:00Z</dcterms:created>
  <dcterms:modified xsi:type="dcterms:W3CDTF">2016-09-14T10:36:00Z</dcterms:modified>
</cp:coreProperties>
</file>