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F3" w:rsidRPr="000069D0" w:rsidRDefault="006D58F3">
      <w:pPr>
        <w:pStyle w:val="ConsPlusTitlePage"/>
      </w:pPr>
      <w:r w:rsidRPr="000069D0">
        <w:br/>
      </w:r>
    </w:p>
    <w:p w:rsidR="006D58F3" w:rsidRPr="000069D0" w:rsidRDefault="006D58F3">
      <w:pPr>
        <w:pStyle w:val="ConsPlusNormal"/>
        <w:outlineLvl w:val="0"/>
      </w:pPr>
    </w:p>
    <w:p w:rsidR="006D58F3" w:rsidRPr="000069D0" w:rsidRDefault="006D58F3">
      <w:pPr>
        <w:pStyle w:val="ConsPlusTitle"/>
        <w:jc w:val="center"/>
      </w:pPr>
      <w:bookmarkStart w:id="0" w:name="_GoBack"/>
      <w:bookmarkEnd w:id="0"/>
      <w:r w:rsidRPr="000069D0">
        <w:t>СОВЕТ СТЕПНОВСКОГО МУНИЦИПАЛЬНОГО РАЙОНА</w:t>
      </w:r>
    </w:p>
    <w:p w:rsidR="006D58F3" w:rsidRPr="000069D0" w:rsidRDefault="006D58F3">
      <w:pPr>
        <w:pStyle w:val="ConsPlusTitle"/>
        <w:jc w:val="center"/>
      </w:pPr>
      <w:r w:rsidRPr="000069D0">
        <w:t>СТАВРОПОЛЬСКОГО КРАЯ</w:t>
      </w:r>
    </w:p>
    <w:p w:rsidR="006D58F3" w:rsidRPr="000069D0" w:rsidRDefault="006D58F3">
      <w:pPr>
        <w:pStyle w:val="ConsPlusTitle"/>
        <w:jc w:val="center"/>
      </w:pPr>
    </w:p>
    <w:p w:rsidR="006D58F3" w:rsidRPr="000069D0" w:rsidRDefault="006D58F3">
      <w:pPr>
        <w:pStyle w:val="ConsPlusTitle"/>
        <w:jc w:val="center"/>
      </w:pPr>
      <w:r w:rsidRPr="000069D0">
        <w:t>РЕШЕНИЕ</w:t>
      </w:r>
    </w:p>
    <w:p w:rsidR="006D58F3" w:rsidRPr="000069D0" w:rsidRDefault="006D58F3">
      <w:pPr>
        <w:pStyle w:val="ConsPlusTitle"/>
        <w:jc w:val="center"/>
      </w:pPr>
      <w:r w:rsidRPr="000069D0">
        <w:t>от 30 октября 2015 г. N 20/153-III</w:t>
      </w:r>
    </w:p>
    <w:p w:rsidR="006D58F3" w:rsidRPr="000069D0" w:rsidRDefault="006D58F3">
      <w:pPr>
        <w:pStyle w:val="ConsPlusTitle"/>
        <w:jc w:val="center"/>
      </w:pPr>
    </w:p>
    <w:p w:rsidR="006D58F3" w:rsidRPr="000069D0" w:rsidRDefault="006D58F3">
      <w:pPr>
        <w:pStyle w:val="ConsPlusTitle"/>
        <w:jc w:val="center"/>
      </w:pPr>
      <w:r w:rsidRPr="000069D0">
        <w:t xml:space="preserve">О </w:t>
      </w:r>
      <w:r w:rsidR="000069D0" w:rsidRPr="000069D0">
        <w:t xml:space="preserve">системе налогообложения в виде единого налога на </w:t>
      </w:r>
      <w:proofErr w:type="gramStart"/>
      <w:r w:rsidR="000069D0" w:rsidRPr="000069D0">
        <w:t>вмененный</w:t>
      </w:r>
      <w:proofErr w:type="gramEnd"/>
    </w:p>
    <w:p w:rsidR="006D58F3" w:rsidRPr="000069D0" w:rsidRDefault="000069D0">
      <w:pPr>
        <w:pStyle w:val="ConsPlusTitle"/>
        <w:jc w:val="center"/>
      </w:pPr>
      <w:r>
        <w:t>д</w:t>
      </w:r>
      <w:r w:rsidRPr="000069D0">
        <w:t>оход для отдельных видов деятельности на территории</w:t>
      </w:r>
    </w:p>
    <w:p w:rsidR="006D58F3" w:rsidRPr="000069D0" w:rsidRDefault="000069D0">
      <w:pPr>
        <w:pStyle w:val="ConsPlusTitle"/>
        <w:jc w:val="center"/>
      </w:pPr>
      <w:proofErr w:type="spellStart"/>
      <w:r w:rsidRPr="000069D0">
        <w:t>Степ</w:t>
      </w:r>
      <w:r>
        <w:t>новского</w:t>
      </w:r>
      <w:proofErr w:type="spellEnd"/>
      <w:r>
        <w:t xml:space="preserve"> муниципального района С</w:t>
      </w:r>
      <w:r w:rsidRPr="000069D0">
        <w:t>тавропольского края</w:t>
      </w:r>
    </w:p>
    <w:p w:rsidR="006D58F3" w:rsidRPr="000069D0" w:rsidRDefault="006D58F3">
      <w:pPr>
        <w:pStyle w:val="ConsPlusNormal"/>
        <w:jc w:val="center"/>
      </w:pPr>
    </w:p>
    <w:p w:rsidR="006D58F3" w:rsidRPr="000069D0" w:rsidRDefault="006D58F3">
      <w:pPr>
        <w:pStyle w:val="ConsPlusNormal"/>
        <w:jc w:val="center"/>
      </w:pPr>
      <w:r w:rsidRPr="000069D0">
        <w:t>Список изменяющих документов</w:t>
      </w:r>
    </w:p>
    <w:p w:rsidR="006D58F3" w:rsidRPr="000069D0" w:rsidRDefault="006D58F3">
      <w:pPr>
        <w:pStyle w:val="ConsPlusNormal"/>
        <w:jc w:val="center"/>
      </w:pPr>
      <w:proofErr w:type="gramStart"/>
      <w:r w:rsidRPr="000069D0">
        <w:t xml:space="preserve">(в ред. решения совета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</w:t>
      </w:r>
      <w:proofErr w:type="gramEnd"/>
    </w:p>
    <w:p w:rsidR="006D58F3" w:rsidRPr="000069D0" w:rsidRDefault="006D58F3">
      <w:pPr>
        <w:pStyle w:val="ConsPlusNormal"/>
        <w:jc w:val="center"/>
      </w:pPr>
      <w:r w:rsidRPr="000069D0">
        <w:t>края от 28.10.2016 N 29/228-III)</w:t>
      </w:r>
    </w:p>
    <w:p w:rsidR="006D58F3" w:rsidRPr="000069D0" w:rsidRDefault="006D58F3">
      <w:pPr>
        <w:pStyle w:val="ConsPlusNormal"/>
      </w:pP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В соответствии с главой 26.3 Налогового кодекса Российской Федерации, Уставом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 Совет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 решил:</w:t>
      </w:r>
    </w:p>
    <w:p w:rsidR="006D58F3" w:rsidRPr="000069D0" w:rsidRDefault="006D58F3">
      <w:pPr>
        <w:pStyle w:val="ConsPlusNormal"/>
      </w:pP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1. Ввести на территории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 (далее - район) систему налогообложения в виде единого налога на вмененный доход для отдельных видов деятельности.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2. Установить, что система налогообложения в виде единого налога на вмененный доход для отдельных видов деятельности (далее - единый налог) применяется наряду с общей системой налогообложения, предусмотренной законодательством Российской Федерации о налогах и сборах.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3. Установить, что система налогообложения в виде единого налога применяется на территории района в отношении следующих видов предпринимательской деятельности:</w:t>
      </w:r>
    </w:p>
    <w:p w:rsidR="006D58F3" w:rsidRPr="000069D0" w:rsidRDefault="006D58F3">
      <w:pPr>
        <w:pStyle w:val="ConsPlusNormal"/>
        <w:ind w:firstLine="540"/>
        <w:jc w:val="both"/>
      </w:pPr>
      <w:bookmarkStart w:id="1" w:name="P20"/>
      <w:bookmarkEnd w:id="1"/>
      <w:r w:rsidRPr="000069D0">
        <w:t>1) оказания бытовых услуг, их групп, подгрупп, видов и (или) отдельных бытовых услуг, классифицированных в соответствии с Общероссийским классификатором услуг населению;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2) оказания ветеринарных услуг;</w:t>
      </w:r>
    </w:p>
    <w:p w:rsidR="006D58F3" w:rsidRPr="000069D0" w:rsidRDefault="006D58F3">
      <w:pPr>
        <w:pStyle w:val="ConsPlusNormal"/>
        <w:ind w:firstLine="540"/>
        <w:jc w:val="both"/>
      </w:pPr>
      <w:bookmarkStart w:id="2" w:name="P22"/>
      <w:bookmarkEnd w:id="2"/>
      <w:r w:rsidRPr="000069D0">
        <w:t>3) оказания услуг по ремонту, техническому обслуживанию и мойке автомототранспортных средств;</w:t>
      </w:r>
    </w:p>
    <w:p w:rsidR="006D58F3" w:rsidRPr="000069D0" w:rsidRDefault="006D58F3">
      <w:pPr>
        <w:pStyle w:val="ConsPlusNormal"/>
        <w:ind w:firstLine="540"/>
        <w:jc w:val="both"/>
      </w:pPr>
      <w:bookmarkStart w:id="3" w:name="P23"/>
      <w:bookmarkEnd w:id="3"/>
      <w:r w:rsidRPr="000069D0"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владения, и (или) распоряжения) не более 20 транспортных средств, предназначенных для оказания таких услуг;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6)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lastRenderedPageBreak/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D58F3" w:rsidRPr="000069D0" w:rsidRDefault="006D58F3">
      <w:pPr>
        <w:pStyle w:val="ConsPlusNormal"/>
        <w:ind w:firstLine="540"/>
        <w:jc w:val="both"/>
      </w:pPr>
      <w:bookmarkStart w:id="4" w:name="P28"/>
      <w:bookmarkEnd w:id="4"/>
      <w:r w:rsidRPr="000069D0">
        <w:t>9)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D58F3" w:rsidRPr="000069D0" w:rsidRDefault="006D58F3">
      <w:pPr>
        <w:pStyle w:val="ConsPlusNormal"/>
        <w:ind w:firstLine="540"/>
        <w:jc w:val="both"/>
      </w:pPr>
      <w:bookmarkStart w:id="5" w:name="P29"/>
      <w:bookmarkEnd w:id="5"/>
      <w:r w:rsidRPr="000069D0">
        <w:t>10)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D58F3" w:rsidRPr="000069D0" w:rsidRDefault="006D58F3">
      <w:pPr>
        <w:pStyle w:val="ConsPlusNormal"/>
        <w:ind w:firstLine="540"/>
        <w:jc w:val="both"/>
      </w:pPr>
      <w:bookmarkStart w:id="6" w:name="P30"/>
      <w:bookmarkEnd w:id="6"/>
      <w:r w:rsidRPr="000069D0">
        <w:t>11)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4. Установить, что значение корректирующего коэффициента базовой доходности К</w:t>
      </w:r>
      <w:proofErr w:type="gramStart"/>
      <w:r w:rsidRPr="000069D0">
        <w:t>2</w:t>
      </w:r>
      <w:proofErr w:type="gramEnd"/>
      <w:r w:rsidRPr="000069D0">
        <w:t xml:space="preserve"> определяется как произведение коэффициентов, учитывающих влияние на результат предпринимательской деятельности факторов, по формуле:</w:t>
      </w:r>
    </w:p>
    <w:p w:rsidR="006D58F3" w:rsidRPr="000069D0" w:rsidRDefault="006D58F3">
      <w:pPr>
        <w:pStyle w:val="ConsPlusNormal"/>
      </w:pP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К2 = </w:t>
      </w:r>
      <w:proofErr w:type="spellStart"/>
      <w:r w:rsidRPr="000069D0">
        <w:t>Ктнп</w:t>
      </w:r>
      <w:proofErr w:type="spellEnd"/>
      <w:r w:rsidRPr="000069D0">
        <w:t xml:space="preserve"> x </w:t>
      </w:r>
      <w:proofErr w:type="spellStart"/>
      <w:r w:rsidRPr="000069D0">
        <w:t>Кас</w:t>
      </w:r>
      <w:proofErr w:type="spellEnd"/>
      <w:r w:rsidRPr="000069D0">
        <w:t xml:space="preserve"> x Ком x </w:t>
      </w:r>
      <w:proofErr w:type="spellStart"/>
      <w:proofErr w:type="gramStart"/>
      <w:r w:rsidRPr="000069D0">
        <w:t>Кр</w:t>
      </w:r>
      <w:proofErr w:type="spellEnd"/>
      <w:proofErr w:type="gramEnd"/>
      <w:r w:rsidRPr="000069D0">
        <w:t xml:space="preserve"> x </w:t>
      </w:r>
      <w:proofErr w:type="spellStart"/>
      <w:r w:rsidRPr="000069D0">
        <w:t>Кид</w:t>
      </w:r>
      <w:proofErr w:type="spellEnd"/>
      <w:r w:rsidRPr="000069D0">
        <w:t>, где:</w:t>
      </w:r>
    </w:p>
    <w:p w:rsidR="006D58F3" w:rsidRPr="000069D0" w:rsidRDefault="006D58F3">
      <w:pPr>
        <w:pStyle w:val="ConsPlusNormal"/>
      </w:pPr>
    </w:p>
    <w:p w:rsidR="006D58F3" w:rsidRPr="000069D0" w:rsidRDefault="006D58F3">
      <w:pPr>
        <w:pStyle w:val="ConsPlusNormal"/>
        <w:ind w:firstLine="540"/>
        <w:jc w:val="both"/>
      </w:pPr>
      <w:proofErr w:type="spellStart"/>
      <w:r w:rsidRPr="000069D0">
        <w:t>Ктнп</w:t>
      </w:r>
      <w:proofErr w:type="spellEnd"/>
      <w:r w:rsidRPr="000069D0">
        <w:t xml:space="preserve"> - коэффициент, учитывающий тип населенного пункта;</w:t>
      </w:r>
    </w:p>
    <w:p w:rsidR="006D58F3" w:rsidRPr="000069D0" w:rsidRDefault="006D58F3">
      <w:pPr>
        <w:pStyle w:val="ConsPlusNormal"/>
        <w:ind w:firstLine="540"/>
        <w:jc w:val="both"/>
      </w:pPr>
      <w:proofErr w:type="spellStart"/>
      <w:r w:rsidRPr="000069D0">
        <w:t>Кас</w:t>
      </w:r>
      <w:proofErr w:type="spellEnd"/>
      <w:r w:rsidRPr="000069D0">
        <w:t xml:space="preserve"> - коэффициент, учитывающий ассортимент товаров (услуг);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Ком - коэффициент, учитывающий особенности места предпринимательской деятельности внутри муниципального образования;</w:t>
      </w:r>
    </w:p>
    <w:p w:rsidR="006D58F3" w:rsidRPr="000069D0" w:rsidRDefault="006D58F3">
      <w:pPr>
        <w:pStyle w:val="ConsPlusNormal"/>
        <w:ind w:firstLine="540"/>
        <w:jc w:val="both"/>
      </w:pPr>
      <w:proofErr w:type="spellStart"/>
      <w:proofErr w:type="gramStart"/>
      <w:r w:rsidRPr="000069D0">
        <w:t>Кр</w:t>
      </w:r>
      <w:proofErr w:type="spellEnd"/>
      <w:proofErr w:type="gramEnd"/>
      <w:r w:rsidRPr="000069D0">
        <w:t xml:space="preserve"> - коэффициент, учитывающий режим работы;</w:t>
      </w:r>
    </w:p>
    <w:p w:rsidR="006D58F3" w:rsidRPr="000069D0" w:rsidRDefault="006D58F3">
      <w:pPr>
        <w:pStyle w:val="ConsPlusNormal"/>
        <w:ind w:firstLine="540"/>
        <w:jc w:val="both"/>
      </w:pPr>
      <w:proofErr w:type="spellStart"/>
      <w:r w:rsidRPr="000069D0">
        <w:t>Кид</w:t>
      </w:r>
      <w:proofErr w:type="spellEnd"/>
      <w:r w:rsidRPr="000069D0">
        <w:t xml:space="preserve"> - коэффициент, учитывающий инвестиционную деятельность.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5. Утвердить понижающие (повышающие) коэффициенты, учитывающие влияние некоторых факторов на результат предпринимательской деятельности в следующих размерах: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5.1. Коэффициент, учитывающий тип населенного пункта (</w:t>
      </w:r>
      <w:proofErr w:type="spellStart"/>
      <w:r w:rsidRPr="000069D0">
        <w:t>Ктнп</w:t>
      </w:r>
      <w:proofErr w:type="spellEnd"/>
      <w:r w:rsidRPr="000069D0">
        <w:t>):</w:t>
      </w:r>
    </w:p>
    <w:p w:rsidR="006D58F3" w:rsidRPr="000069D0" w:rsidRDefault="006D58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39"/>
        <w:gridCol w:w="1020"/>
        <w:gridCol w:w="1020"/>
        <w:gridCol w:w="1134"/>
        <w:gridCol w:w="1020"/>
      </w:tblGrid>
      <w:tr w:rsidR="000069D0" w:rsidRPr="000069D0">
        <w:tc>
          <w:tcPr>
            <w:tcW w:w="737" w:type="dxa"/>
            <w:vMerge w:val="restart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 xml:space="preserve">N </w:t>
            </w:r>
            <w:proofErr w:type="gramStart"/>
            <w:r w:rsidRPr="000069D0">
              <w:t>п</w:t>
            </w:r>
            <w:proofErr w:type="gramEnd"/>
            <w:r w:rsidRPr="000069D0">
              <w:t>/п</w:t>
            </w:r>
          </w:p>
        </w:tc>
        <w:tc>
          <w:tcPr>
            <w:tcW w:w="4139" w:type="dxa"/>
            <w:vMerge w:val="restart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Вид предпринимательской деятельности</w:t>
            </w:r>
          </w:p>
        </w:tc>
        <w:tc>
          <w:tcPr>
            <w:tcW w:w="4194" w:type="dxa"/>
            <w:gridSpan w:val="4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Тип населенного пункта</w:t>
            </w:r>
          </w:p>
        </w:tc>
      </w:tr>
      <w:tr w:rsidR="000069D0" w:rsidRPr="000069D0">
        <w:tc>
          <w:tcPr>
            <w:tcW w:w="737" w:type="dxa"/>
            <w:vMerge/>
          </w:tcPr>
          <w:p w:rsidR="006D58F3" w:rsidRPr="000069D0" w:rsidRDefault="006D58F3"/>
        </w:tc>
        <w:tc>
          <w:tcPr>
            <w:tcW w:w="4139" w:type="dxa"/>
            <w:vMerge/>
          </w:tcPr>
          <w:p w:rsidR="006D58F3" w:rsidRPr="000069D0" w:rsidRDefault="006D58F3"/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районный центр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центры сельских поселений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прочие населенные пункты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вне границ населенного пункта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</w:t>
            </w:r>
          </w:p>
        </w:tc>
        <w:tc>
          <w:tcPr>
            <w:tcW w:w="4139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2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3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4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5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6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бытовых услуг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0,183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0,113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0,109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0,436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2.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ветеринарных услуг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0,376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0,178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0,146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0,726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3.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0,196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0,196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0,196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0,417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4.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автотранспортных услуг по перевозке грузов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0,653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0,653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0,653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0,726</w:t>
            </w:r>
          </w:p>
        </w:tc>
      </w:tr>
      <w:tr w:rsidR="000069D0" w:rsidRPr="000069D0">
        <w:tc>
          <w:tcPr>
            <w:tcW w:w="737" w:type="dxa"/>
            <w:vMerge w:val="restart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5.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автотранспортных услуг по перевозке пассажиров: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</w:p>
        </w:tc>
      </w:tr>
      <w:tr w:rsidR="000069D0" w:rsidRPr="000069D0">
        <w:tc>
          <w:tcPr>
            <w:tcW w:w="737" w:type="dxa"/>
            <w:vMerge/>
          </w:tcPr>
          <w:p w:rsidR="006D58F3" w:rsidRPr="000069D0" w:rsidRDefault="006D58F3"/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- автобусами, имеющими свыше 14 мест для сидения;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0,459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0,459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0,459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0,544</w:t>
            </w:r>
          </w:p>
        </w:tc>
      </w:tr>
      <w:tr w:rsidR="000069D0" w:rsidRPr="000069D0">
        <w:tc>
          <w:tcPr>
            <w:tcW w:w="737" w:type="dxa"/>
            <w:vMerge/>
          </w:tcPr>
          <w:p w:rsidR="006D58F3" w:rsidRPr="000069D0" w:rsidRDefault="006D58F3"/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- автобусами, имеющими до 15 мест для сидения;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0,509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0,509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0,509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0,605</w:t>
            </w:r>
          </w:p>
        </w:tc>
      </w:tr>
      <w:tr w:rsidR="000069D0" w:rsidRPr="000069D0">
        <w:tc>
          <w:tcPr>
            <w:tcW w:w="737" w:type="dxa"/>
            <w:vMerge/>
          </w:tcPr>
          <w:p w:rsidR="006D58F3" w:rsidRPr="000069D0" w:rsidRDefault="006D58F3"/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- такси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0,535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0,535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0,535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0,605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6.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0,222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0,126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0,101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0,653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7.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0,256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0,147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0,111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0,668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8.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0,179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0,101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0,078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0,464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9.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Развозная и разносная розничная торговля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0,291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0,168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0,107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0,784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10.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0,203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0,125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0,111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0,540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11.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услуг общественного питания через объекты организации общественного питания, не имеющие залы обслуживания посетителей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0,203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0,113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0,111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0,470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12.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услуг по временному размещению и проживанию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0,190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0,139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0,070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0,332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13.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0,022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0,014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0,0076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0,026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14.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 xml:space="preserve">Оказание услуг по передаче во временное владение и (или) в пользование торговых мест, </w:t>
            </w:r>
            <w:r w:rsidRPr="000069D0">
              <w:lastRenderedPageBreak/>
      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lastRenderedPageBreak/>
              <w:t>0,0169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0,0113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0,0051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0,0218</w:t>
            </w:r>
          </w:p>
        </w:tc>
      </w:tr>
      <w:tr w:rsidR="000069D0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lastRenderedPageBreak/>
              <w:t>15.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0,112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0,089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0,0126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0,121</w:t>
            </w:r>
          </w:p>
        </w:tc>
      </w:tr>
      <w:tr w:rsidR="006D58F3" w:rsidRPr="000069D0">
        <w:tc>
          <w:tcPr>
            <w:tcW w:w="737" w:type="dxa"/>
            <w:vAlign w:val="center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16.</w:t>
            </w:r>
          </w:p>
        </w:tc>
        <w:tc>
          <w:tcPr>
            <w:tcW w:w="4139" w:type="dxa"/>
          </w:tcPr>
          <w:p w:rsidR="006D58F3" w:rsidRPr="000069D0" w:rsidRDefault="006D58F3">
            <w:pPr>
              <w:pStyle w:val="ConsPlusNormal"/>
            </w:pPr>
            <w:r w:rsidRPr="000069D0">
              <w:t>Оказание услуг по передаче во временное владение и (или) в пользование земельных участков,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0,0738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0,0571</w:t>
            </w:r>
          </w:p>
        </w:tc>
        <w:tc>
          <w:tcPr>
            <w:tcW w:w="1134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0,00762</w:t>
            </w:r>
          </w:p>
        </w:tc>
        <w:tc>
          <w:tcPr>
            <w:tcW w:w="1020" w:type="dxa"/>
            <w:vAlign w:val="center"/>
          </w:tcPr>
          <w:p w:rsidR="006D58F3" w:rsidRPr="000069D0" w:rsidRDefault="006D58F3">
            <w:pPr>
              <w:pStyle w:val="ConsPlusNormal"/>
            </w:pPr>
            <w:r w:rsidRPr="000069D0">
              <w:t>0,0786</w:t>
            </w:r>
          </w:p>
        </w:tc>
      </w:tr>
    </w:tbl>
    <w:p w:rsidR="006D58F3" w:rsidRPr="000069D0" w:rsidRDefault="006D58F3">
      <w:pPr>
        <w:pStyle w:val="ConsPlusNormal"/>
        <w:jc w:val="both"/>
      </w:pPr>
    </w:p>
    <w:p w:rsidR="006D58F3" w:rsidRPr="000069D0" w:rsidRDefault="006D58F3">
      <w:pPr>
        <w:pStyle w:val="ConsPlusNormal"/>
        <w:jc w:val="both"/>
      </w:pPr>
      <w:r w:rsidRPr="000069D0">
        <w:t xml:space="preserve">(п. 5.1 в ред. решения совета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 от 28.10.2016 N 29/228-III)</w:t>
      </w:r>
    </w:p>
    <w:p w:rsidR="006D58F3" w:rsidRPr="000069D0" w:rsidRDefault="006D58F3">
      <w:pPr>
        <w:pStyle w:val="ConsPlusNormal"/>
      </w:pPr>
    </w:p>
    <w:p w:rsidR="006D58F3" w:rsidRPr="000069D0" w:rsidRDefault="006D58F3">
      <w:pPr>
        <w:pStyle w:val="ConsPlusNormal"/>
        <w:ind w:firstLine="540"/>
        <w:jc w:val="both"/>
      </w:pPr>
      <w:r w:rsidRPr="000069D0">
        <w:t>5.2. Коэффициент, учитывающий ассортимент товаров (услуг) (</w:t>
      </w:r>
      <w:proofErr w:type="spellStart"/>
      <w:r w:rsidRPr="000069D0">
        <w:t>Кас</w:t>
      </w:r>
      <w:proofErr w:type="spellEnd"/>
      <w:r w:rsidRPr="000069D0">
        <w:t>) и применяемый только в отношении торговли и бытового обслуживания: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0,7 - для магазинов, ателье, мастерских и парикмахерских, обслуживающих ветеранов Великой Отечественной войны с реализацией товаров, оказанием бытовых услуг по сниженным ценам.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Для торговых точек:</w:t>
      </w:r>
    </w:p>
    <w:p w:rsidR="006D58F3" w:rsidRPr="000069D0" w:rsidRDefault="006D58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30"/>
      </w:tblGrid>
      <w:tr w:rsidR="000069D0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Значение (Касс)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Ассортимент реализуемых товаров</w:t>
            </w:r>
          </w:p>
        </w:tc>
      </w:tr>
      <w:tr w:rsidR="000069D0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1,0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</w:pPr>
            <w:r w:rsidRPr="000069D0">
              <w:t>продовольственные товары</w:t>
            </w:r>
          </w:p>
        </w:tc>
      </w:tr>
      <w:tr w:rsidR="000069D0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1,05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</w:pPr>
            <w:r w:rsidRPr="000069D0">
              <w:t>книгоиздательская продукция, канцелярские товары</w:t>
            </w:r>
          </w:p>
        </w:tc>
      </w:tr>
      <w:tr w:rsidR="000069D0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1,10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</w:pPr>
            <w:r w:rsidRPr="000069D0">
              <w:t>хозяйственные и строительные товары, товары бытовой химии, автозапчасти</w:t>
            </w:r>
          </w:p>
        </w:tc>
      </w:tr>
      <w:tr w:rsidR="000069D0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1,15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</w:pPr>
            <w:r w:rsidRPr="000069D0">
              <w:t>технически сложные товары бытового назначения</w:t>
            </w:r>
          </w:p>
        </w:tc>
      </w:tr>
      <w:tr w:rsidR="000069D0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1,20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</w:pPr>
            <w:r w:rsidRPr="000069D0">
              <w:t>лекарственные препараты и медицинские изделия</w:t>
            </w:r>
          </w:p>
        </w:tc>
      </w:tr>
      <w:tr w:rsidR="006D58F3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1,25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</w:pPr>
            <w:r w:rsidRPr="000069D0">
              <w:t>изделия из драгоценных металлов и драгоценных камней</w:t>
            </w:r>
          </w:p>
        </w:tc>
      </w:tr>
    </w:tbl>
    <w:p w:rsidR="006D58F3" w:rsidRPr="000069D0" w:rsidRDefault="006D58F3">
      <w:pPr>
        <w:pStyle w:val="ConsPlusNormal"/>
      </w:pP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По ассортименту товаров (услуг), по которым не определены значения коэффициента </w:t>
      </w:r>
      <w:proofErr w:type="spellStart"/>
      <w:r w:rsidRPr="000069D0">
        <w:t>Кас</w:t>
      </w:r>
      <w:proofErr w:type="spellEnd"/>
      <w:r w:rsidRPr="000069D0">
        <w:t xml:space="preserve">, </w:t>
      </w:r>
      <w:r w:rsidRPr="000069D0">
        <w:lastRenderedPageBreak/>
        <w:t xml:space="preserve">значение коэффициента </w:t>
      </w:r>
      <w:proofErr w:type="spellStart"/>
      <w:r w:rsidRPr="000069D0">
        <w:t>Кас</w:t>
      </w:r>
      <w:proofErr w:type="spellEnd"/>
      <w:r w:rsidRPr="000069D0">
        <w:t xml:space="preserve"> считать равным 1,0.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При реализации налогоплательщиком нескольких групп товаров для исчисления применяется усредненное значение коэффициента </w:t>
      </w:r>
      <w:proofErr w:type="spellStart"/>
      <w:r w:rsidRPr="000069D0">
        <w:t>Кас</w:t>
      </w:r>
      <w:proofErr w:type="spellEnd"/>
      <w:r w:rsidRPr="000069D0">
        <w:t xml:space="preserve"> из числа подлежащих применению.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Для объектов бытового обслуживания:</w:t>
      </w:r>
    </w:p>
    <w:p w:rsidR="006D58F3" w:rsidRPr="000069D0" w:rsidRDefault="006D58F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30"/>
      </w:tblGrid>
      <w:tr w:rsidR="000069D0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Значение (</w:t>
            </w:r>
            <w:proofErr w:type="spellStart"/>
            <w:r w:rsidRPr="000069D0">
              <w:t>Кас</w:t>
            </w:r>
            <w:proofErr w:type="spellEnd"/>
            <w:r w:rsidRPr="000069D0">
              <w:t>)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Виды бытовых услуг</w:t>
            </w:r>
          </w:p>
        </w:tc>
      </w:tr>
      <w:tr w:rsidR="000069D0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1,3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</w:pPr>
            <w:r w:rsidRPr="000069D0">
              <w:t>ремонт жилья и др. построек</w:t>
            </w:r>
          </w:p>
        </w:tc>
      </w:tr>
      <w:tr w:rsidR="000069D0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1,2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</w:pPr>
            <w:r w:rsidRPr="000069D0">
              <w:t>ремонт обуви, услуги парикмахерской, фото, ритуальные услуги</w:t>
            </w:r>
          </w:p>
        </w:tc>
      </w:tr>
      <w:tr w:rsidR="006D58F3" w:rsidRPr="000069D0">
        <w:tc>
          <w:tcPr>
            <w:tcW w:w="1984" w:type="dxa"/>
          </w:tcPr>
          <w:p w:rsidR="006D58F3" w:rsidRPr="000069D0" w:rsidRDefault="006D58F3">
            <w:pPr>
              <w:pStyle w:val="ConsPlusNormal"/>
              <w:jc w:val="center"/>
            </w:pPr>
            <w:r w:rsidRPr="000069D0">
              <w:t>1,1</w:t>
            </w:r>
          </w:p>
        </w:tc>
        <w:tc>
          <w:tcPr>
            <w:tcW w:w="7030" w:type="dxa"/>
          </w:tcPr>
          <w:p w:rsidR="006D58F3" w:rsidRPr="000069D0" w:rsidRDefault="006D58F3">
            <w:pPr>
              <w:pStyle w:val="ConsPlusNormal"/>
            </w:pPr>
            <w:r w:rsidRPr="000069D0">
              <w:t>прокат, ремонт и изготовление мебели, ремонт РТА, ремонт СБТ</w:t>
            </w:r>
          </w:p>
        </w:tc>
      </w:tr>
    </w:tbl>
    <w:p w:rsidR="006D58F3" w:rsidRPr="000069D0" w:rsidRDefault="006D58F3">
      <w:pPr>
        <w:pStyle w:val="ConsPlusNormal"/>
      </w:pP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При оказании налогоплательщиком нескольких видов бытовых услуг для исчисления применяется усредненное значение коэффициента </w:t>
      </w:r>
      <w:proofErr w:type="spellStart"/>
      <w:r w:rsidRPr="000069D0">
        <w:t>Кас</w:t>
      </w:r>
      <w:proofErr w:type="spellEnd"/>
      <w:r w:rsidRPr="000069D0">
        <w:t xml:space="preserve"> из числа подлежащих применению. По прочим видам бытовых услуг применяется коэффициент, равный 1,0.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5.3. Коэффициент, учитывающий особенности расположения места предпринимательской деятельности внутри муниципального образования (Ком):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1) для районного центра и центров сельских поселений: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1,1 - в центре села, на рынках, в универмаге;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0,8 - при осуществлении предпринимательской деятельности на окраине населенного пункта;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1,0 - во всех случаях осуществления деятельности в объектах (местах), расположенных на территориях, не перечисленных выше.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Границы центра и окраин населенных пунктов - сел Богдановка, </w:t>
      </w:r>
      <w:proofErr w:type="spellStart"/>
      <w:r w:rsidRPr="000069D0">
        <w:t>Варениковское</w:t>
      </w:r>
      <w:proofErr w:type="spellEnd"/>
      <w:r w:rsidRPr="000069D0">
        <w:t xml:space="preserve">, </w:t>
      </w:r>
      <w:proofErr w:type="spellStart"/>
      <w:r w:rsidRPr="000069D0">
        <w:t>Иргаклы</w:t>
      </w:r>
      <w:proofErr w:type="spellEnd"/>
      <w:r w:rsidRPr="000069D0">
        <w:t xml:space="preserve">, Ольгино, </w:t>
      </w:r>
      <w:proofErr w:type="spellStart"/>
      <w:r w:rsidRPr="000069D0">
        <w:t>Соломенское</w:t>
      </w:r>
      <w:proofErr w:type="spellEnd"/>
      <w:r w:rsidRPr="000069D0">
        <w:t xml:space="preserve">, Степное и пос. </w:t>
      </w:r>
      <w:proofErr w:type="spellStart"/>
      <w:r w:rsidRPr="000069D0">
        <w:t>Верхнестепной</w:t>
      </w:r>
      <w:proofErr w:type="spellEnd"/>
      <w:r w:rsidRPr="000069D0">
        <w:t xml:space="preserve"> для целей применения настоящего решения устанавливаются представительным органом местного самоуправления сельского поселения, входящих в состав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края. В случае если соответствующего решения не было принято, коэффициент Ком применяется со значением 1,0;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2) для прочих населенных пунктов - 1,0.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Коэффициент Ком не применяется в отношении видов предпринимательской деятельности, указанных в подпунктах 3, 4, 9 и в части оказания услуг по ремонту жилья подпункта 1 пункта 3 настоящего решения.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5.4. Коэффициент, учитывающий режим работы (</w:t>
      </w:r>
      <w:proofErr w:type="spellStart"/>
      <w:proofErr w:type="gramStart"/>
      <w:r w:rsidRPr="000069D0">
        <w:t>Кр</w:t>
      </w:r>
      <w:proofErr w:type="spellEnd"/>
      <w:proofErr w:type="gramEnd"/>
      <w:r w:rsidRPr="000069D0">
        <w:t>):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1,2 - при круглосуточном режиме работы;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1,1 - при работе в день до 18 часов;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1,0 - при работе в день до 14 часов.</w:t>
      </w:r>
    </w:p>
    <w:p w:rsidR="006D58F3" w:rsidRPr="000069D0" w:rsidRDefault="006D58F3">
      <w:pPr>
        <w:pStyle w:val="ConsPlusNormal"/>
        <w:ind w:firstLine="540"/>
        <w:jc w:val="both"/>
      </w:pPr>
      <w:proofErr w:type="spellStart"/>
      <w:proofErr w:type="gramStart"/>
      <w:r w:rsidRPr="000069D0">
        <w:t>Кр</w:t>
      </w:r>
      <w:proofErr w:type="spellEnd"/>
      <w:proofErr w:type="gramEnd"/>
      <w:r w:rsidRPr="000069D0">
        <w:t xml:space="preserve"> не применяется в отношении видов предпринимательской деятельности, указанных в подпунктах 10, 11 и в части оказания услуг по ремонту жилья подпункта 1 пункта 3 настоящего решения.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При оказании на дому услуг по пошиву и ремонту швейных изделий, ремонту обуви, бытовой радиоэлектронной аппаратуры, бытовых машин и бытовых приборов неполный рабочий день (до 4 часов), по подтверждению администраций сельских поселений, входящих в состав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края, применяется </w:t>
      </w:r>
      <w:proofErr w:type="spellStart"/>
      <w:proofErr w:type="gramStart"/>
      <w:r w:rsidRPr="000069D0">
        <w:t>Кр</w:t>
      </w:r>
      <w:proofErr w:type="spellEnd"/>
      <w:proofErr w:type="gramEnd"/>
      <w:r w:rsidRPr="000069D0">
        <w:t>, равный 0,5.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5.5. Коэффициент, учитывающий инвестиционную деятельность (</w:t>
      </w:r>
      <w:proofErr w:type="spellStart"/>
      <w:r w:rsidRPr="000069D0">
        <w:t>Кид</w:t>
      </w:r>
      <w:proofErr w:type="spellEnd"/>
      <w:r w:rsidRPr="000069D0">
        <w:t>):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0,1 - для хозяйствующих субъектов, реализующих инвестиционные проекты на территории района. Применяется на срок окупаемости инвестиционного проекта, но не выше расчетного срока окупаемости инвестиционного проекта при подтверждении администрацией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При отсутствии сведений о реализации инвестиционных проектов коэффициент (</w:t>
      </w:r>
      <w:proofErr w:type="spellStart"/>
      <w:r w:rsidRPr="000069D0">
        <w:t>Кид</w:t>
      </w:r>
      <w:proofErr w:type="spellEnd"/>
      <w:r w:rsidRPr="000069D0">
        <w:t>) считать равным 1,0.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6. Установить, что для предпринимателей, занятых в сфере торговли, ставших на временный налоговый учет и осуществляющих свою деятельность в различных населенных пунктах района в объектах нестационарной торговой сети, применяется К</w:t>
      </w:r>
      <w:proofErr w:type="gramStart"/>
      <w:r w:rsidRPr="000069D0">
        <w:t>2</w:t>
      </w:r>
      <w:proofErr w:type="gramEnd"/>
      <w:r w:rsidRPr="000069D0">
        <w:t>, установленный для села Степного.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lastRenderedPageBreak/>
        <w:t xml:space="preserve">7. С момента вступления в силу настоящего решения признать утратившими силу решения Совета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края: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от 30 октября 2008 года N 7/48-II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края";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от 31 октября 2012 года N 48/316-II "О внесении изменений в решение Совета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 от 30 октября 2008 года N 7/48-II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края";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от 08 февраля 2013 года N 51/337-II "О внесении изменений в решение Совета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 от 30 октября 2008 года N 7/48-II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края";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 xml:space="preserve">от 31 октября 2014 года N 9/92-III "О внесении изменений в решение Совета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 от 30 октября 2008 года N 7/48-II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0069D0">
        <w:t>Степновского</w:t>
      </w:r>
      <w:proofErr w:type="spellEnd"/>
      <w:r w:rsidRPr="000069D0">
        <w:t xml:space="preserve"> муниципального района Ставропольского края".</w:t>
      </w:r>
    </w:p>
    <w:p w:rsidR="006D58F3" w:rsidRPr="000069D0" w:rsidRDefault="006D58F3">
      <w:pPr>
        <w:pStyle w:val="ConsPlusNormal"/>
        <w:ind w:firstLine="540"/>
        <w:jc w:val="both"/>
      </w:pPr>
      <w:r w:rsidRPr="000069D0">
        <w:t>8. Настоящее решение вступает в силу с 1 января 2016 года, но не ранее чем по истечении одного месяца со дня официального опубликования.</w:t>
      </w:r>
    </w:p>
    <w:p w:rsidR="006D58F3" w:rsidRPr="000069D0" w:rsidRDefault="006D58F3">
      <w:pPr>
        <w:pStyle w:val="ConsPlusNormal"/>
      </w:pPr>
    </w:p>
    <w:p w:rsidR="000069D0" w:rsidRPr="000069D0" w:rsidRDefault="006D58F3">
      <w:pPr>
        <w:pStyle w:val="ConsPlusNormal"/>
        <w:jc w:val="right"/>
        <w:rPr>
          <w:i/>
        </w:rPr>
      </w:pPr>
      <w:r w:rsidRPr="000069D0">
        <w:rPr>
          <w:i/>
        </w:rPr>
        <w:t>Председатель Совета</w:t>
      </w:r>
      <w:r w:rsidR="000069D0" w:rsidRPr="000069D0">
        <w:rPr>
          <w:i/>
        </w:rPr>
        <w:t xml:space="preserve"> </w:t>
      </w:r>
      <w:proofErr w:type="spellStart"/>
      <w:r w:rsidRPr="000069D0">
        <w:rPr>
          <w:i/>
        </w:rPr>
        <w:t>Степновского</w:t>
      </w:r>
      <w:proofErr w:type="spellEnd"/>
      <w:r w:rsidRPr="000069D0">
        <w:rPr>
          <w:i/>
        </w:rPr>
        <w:t xml:space="preserve"> муниципального</w:t>
      </w:r>
      <w:r w:rsidR="000069D0" w:rsidRPr="000069D0">
        <w:rPr>
          <w:i/>
        </w:rPr>
        <w:t xml:space="preserve"> </w:t>
      </w:r>
      <w:r w:rsidRPr="000069D0">
        <w:rPr>
          <w:i/>
        </w:rPr>
        <w:t xml:space="preserve">района </w:t>
      </w:r>
    </w:p>
    <w:p w:rsidR="006D58F3" w:rsidRPr="000069D0" w:rsidRDefault="006D58F3">
      <w:pPr>
        <w:pStyle w:val="ConsPlusNormal"/>
        <w:jc w:val="right"/>
        <w:rPr>
          <w:i/>
        </w:rPr>
      </w:pPr>
      <w:r w:rsidRPr="000069D0">
        <w:rPr>
          <w:i/>
        </w:rPr>
        <w:t>Ставропольского края</w:t>
      </w:r>
    </w:p>
    <w:p w:rsidR="006D58F3" w:rsidRPr="000069D0" w:rsidRDefault="006D58F3">
      <w:pPr>
        <w:pStyle w:val="ConsPlusNormal"/>
        <w:jc w:val="right"/>
        <w:rPr>
          <w:i/>
        </w:rPr>
      </w:pPr>
      <w:proofErr w:type="spellStart"/>
      <w:r w:rsidRPr="000069D0">
        <w:rPr>
          <w:i/>
        </w:rPr>
        <w:t>А.Н.Л</w:t>
      </w:r>
      <w:r w:rsidR="000069D0" w:rsidRPr="000069D0">
        <w:rPr>
          <w:i/>
        </w:rPr>
        <w:t>итвиненко</w:t>
      </w:r>
      <w:proofErr w:type="spellEnd"/>
    </w:p>
    <w:p w:rsidR="006D58F3" w:rsidRPr="000069D0" w:rsidRDefault="006D58F3">
      <w:pPr>
        <w:pStyle w:val="ConsPlusNormal"/>
        <w:rPr>
          <w:i/>
        </w:rPr>
      </w:pPr>
    </w:p>
    <w:p w:rsidR="006D58F3" w:rsidRPr="000069D0" w:rsidRDefault="006D58F3">
      <w:pPr>
        <w:pStyle w:val="ConsPlusNormal"/>
        <w:jc w:val="right"/>
        <w:rPr>
          <w:i/>
        </w:rPr>
      </w:pPr>
      <w:r w:rsidRPr="000069D0">
        <w:rPr>
          <w:i/>
        </w:rPr>
        <w:t xml:space="preserve">Глава </w:t>
      </w:r>
      <w:proofErr w:type="spellStart"/>
      <w:r w:rsidRPr="000069D0">
        <w:rPr>
          <w:i/>
        </w:rPr>
        <w:t>Степновского</w:t>
      </w:r>
      <w:proofErr w:type="spellEnd"/>
      <w:r w:rsidR="000069D0" w:rsidRPr="000069D0">
        <w:rPr>
          <w:i/>
        </w:rPr>
        <w:t xml:space="preserve"> </w:t>
      </w:r>
      <w:r w:rsidRPr="000069D0">
        <w:rPr>
          <w:i/>
        </w:rPr>
        <w:t>муниципального района</w:t>
      </w:r>
    </w:p>
    <w:p w:rsidR="006D58F3" w:rsidRPr="000069D0" w:rsidRDefault="006D58F3">
      <w:pPr>
        <w:pStyle w:val="ConsPlusNormal"/>
        <w:jc w:val="right"/>
        <w:rPr>
          <w:i/>
        </w:rPr>
      </w:pPr>
      <w:r w:rsidRPr="000069D0">
        <w:rPr>
          <w:i/>
        </w:rPr>
        <w:t>Ставропольского края</w:t>
      </w:r>
    </w:p>
    <w:p w:rsidR="006D58F3" w:rsidRPr="000069D0" w:rsidRDefault="006D58F3">
      <w:pPr>
        <w:pStyle w:val="ConsPlusNormal"/>
        <w:jc w:val="right"/>
      </w:pPr>
      <w:proofErr w:type="spellStart"/>
      <w:r w:rsidRPr="000069D0">
        <w:rPr>
          <w:i/>
        </w:rPr>
        <w:t>С.В.Л</w:t>
      </w:r>
      <w:r w:rsidR="000069D0" w:rsidRPr="000069D0">
        <w:rPr>
          <w:i/>
        </w:rPr>
        <w:t>обанов</w:t>
      </w:r>
      <w:proofErr w:type="spellEnd"/>
    </w:p>
    <w:p w:rsidR="006D58F3" w:rsidRPr="000069D0" w:rsidRDefault="006D58F3">
      <w:pPr>
        <w:pStyle w:val="ConsPlusNormal"/>
      </w:pPr>
    </w:p>
    <w:p w:rsidR="008C604D" w:rsidRPr="000069D0" w:rsidRDefault="008C604D"/>
    <w:sectPr w:rsidR="008C604D" w:rsidRPr="000069D0" w:rsidSect="001D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F3"/>
    <w:rsid w:val="000069D0"/>
    <w:rsid w:val="006D58F3"/>
    <w:rsid w:val="008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2017-03-14T13:16:00Z</dcterms:created>
  <dcterms:modified xsi:type="dcterms:W3CDTF">2017-03-14T13:22:00Z</dcterms:modified>
</cp:coreProperties>
</file>