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Приложение N 2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к решению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Совета муниципального района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"Заполярный район"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от 27.10.2006 N 109-р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B15">
        <w:rPr>
          <w:rFonts w:ascii="Arial" w:hAnsi="Arial" w:cs="Arial"/>
          <w:b/>
          <w:bCs/>
        </w:rPr>
        <w:t>ЗНАЧЕНИЯ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B15">
        <w:rPr>
          <w:rFonts w:ascii="Arial" w:hAnsi="Arial" w:cs="Arial"/>
          <w:b/>
          <w:bCs/>
        </w:rPr>
        <w:t>КОРРЕКТИРУЮЩЕГО КОЭФФИЦИЕНТА БАЗОВОЙ ДОХОДНОСТИ К</w:t>
      </w:r>
      <w:proofErr w:type="gramStart"/>
      <w:r w:rsidRPr="00CB2B15">
        <w:rPr>
          <w:rFonts w:ascii="Arial" w:hAnsi="Arial" w:cs="Arial"/>
          <w:b/>
          <w:bCs/>
        </w:rPr>
        <w:t>2</w:t>
      </w:r>
      <w:proofErr w:type="gramEnd"/>
      <w:r w:rsidRPr="00CB2B15">
        <w:rPr>
          <w:rFonts w:ascii="Arial" w:hAnsi="Arial" w:cs="Arial"/>
          <w:b/>
          <w:bCs/>
        </w:rPr>
        <w:t>,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B15">
        <w:rPr>
          <w:rFonts w:ascii="Arial" w:hAnsi="Arial" w:cs="Arial"/>
          <w:b/>
          <w:bCs/>
        </w:rPr>
        <w:t>УЧИТЫВАЮЩЕГО СОВОКУПНОСТЬ ОСОБЕННОСТЕЙ ВЕДЕНИЯ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B15">
        <w:rPr>
          <w:rFonts w:ascii="Arial" w:hAnsi="Arial" w:cs="Arial"/>
          <w:b/>
          <w:bCs/>
        </w:rPr>
        <w:t>ПРЕДПРИНИМАТЕЛЬСКОЙ ДЕЯТЕЛЬНОСТИ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Список изменяющих документов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proofErr w:type="gramStart"/>
      <w:r w:rsidRPr="00CB2B15">
        <w:rPr>
          <w:rFonts w:ascii="Arial" w:hAnsi="Arial" w:cs="Arial"/>
          <w:bCs/>
        </w:rPr>
        <w:t>(в ред. решений Совета муниципального района</w:t>
      </w:r>
      <w:proofErr w:type="gramEnd"/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proofErr w:type="gramStart"/>
      <w:r w:rsidRPr="00CB2B15">
        <w:rPr>
          <w:rFonts w:ascii="Arial" w:hAnsi="Arial" w:cs="Arial"/>
          <w:bCs/>
        </w:rPr>
        <w:t>"Заполярный район" от 27.10.2011 N 209-р, от 22.12.2016 N 291-р)</w:t>
      </w:r>
      <w:proofErr w:type="gramEnd"/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1. Корректирующий коэффициент базовой доходности (К</w:t>
      </w:r>
      <w:proofErr w:type="gramStart"/>
      <w:r w:rsidRPr="00CB2B15">
        <w:rPr>
          <w:rFonts w:ascii="Arial" w:hAnsi="Arial" w:cs="Arial"/>
          <w:bCs/>
        </w:rPr>
        <w:t>2</w:t>
      </w:r>
      <w:proofErr w:type="gramEnd"/>
      <w:r w:rsidRPr="00CB2B15">
        <w:rPr>
          <w:rFonts w:ascii="Arial" w:hAnsi="Arial" w:cs="Arial"/>
          <w:bCs/>
        </w:rPr>
        <w:t>),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2. Установить следующие значения корректирующего коэффициента базовой доходности (К</w:t>
      </w:r>
      <w:proofErr w:type="gramStart"/>
      <w:r w:rsidRPr="00CB2B15">
        <w:rPr>
          <w:rFonts w:ascii="Arial" w:hAnsi="Arial" w:cs="Arial"/>
          <w:bCs/>
        </w:rPr>
        <w:t>2</w:t>
      </w:r>
      <w:proofErr w:type="gramEnd"/>
      <w:r w:rsidRPr="00CB2B15">
        <w:rPr>
          <w:rFonts w:ascii="Arial" w:hAnsi="Arial" w:cs="Arial"/>
          <w:bCs/>
        </w:rPr>
        <w:t>), учитывающего совокупность особенностей ведения предпринимательской деятельности: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10882" w:type="dxa"/>
        <w:tblInd w:w="-8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154"/>
        <w:gridCol w:w="1868"/>
      </w:tblGrid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 xml:space="preserve">N </w:t>
            </w:r>
            <w:proofErr w:type="gramStart"/>
            <w:r w:rsidRPr="00CB2B15">
              <w:rPr>
                <w:rFonts w:ascii="Arial" w:hAnsi="Arial" w:cs="Arial"/>
                <w:bCs/>
              </w:rPr>
              <w:t>п</w:t>
            </w:r>
            <w:proofErr w:type="gramEnd"/>
            <w:r w:rsidRPr="00CB2B15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Вид предпринимательской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К</w:t>
            </w:r>
            <w:proofErr w:type="gramStart"/>
            <w:r w:rsidRPr="00CB2B15">
              <w:rPr>
                <w:rFonts w:ascii="Arial" w:hAnsi="Arial" w:cs="Arial"/>
                <w:bCs/>
              </w:rPr>
              <w:t>2</w:t>
            </w:r>
            <w:proofErr w:type="gramEnd"/>
            <w:r w:rsidRPr="00CB2B15">
              <w:rPr>
                <w:rFonts w:ascii="Arial" w:hAnsi="Arial" w:cs="Arial"/>
                <w:bCs/>
              </w:rPr>
              <w:t xml:space="preserve"> для городского поселения &lt;*&gt;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К</w:t>
            </w:r>
            <w:proofErr w:type="gramStart"/>
            <w:r w:rsidRPr="00CB2B15">
              <w:rPr>
                <w:rFonts w:ascii="Arial" w:hAnsi="Arial" w:cs="Arial"/>
                <w:bCs/>
              </w:rPr>
              <w:t>2</w:t>
            </w:r>
            <w:proofErr w:type="gramEnd"/>
            <w:r w:rsidRPr="00CB2B15">
              <w:rPr>
                <w:rFonts w:ascii="Arial" w:hAnsi="Arial" w:cs="Arial"/>
                <w:bCs/>
              </w:rPr>
              <w:t xml:space="preserve"> для сельских поселений &lt;**&gt;</w:t>
            </w:r>
          </w:p>
        </w:tc>
      </w:tr>
      <w:tr w:rsidR="00E07E6E" w:rsidRPr="00CB2B15" w:rsidTr="00157A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Организация похорон и предоставление связанных с ними услуг;</w:t>
            </w:r>
          </w:p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Деятельность физкультурно-оздоровительная;</w:t>
            </w:r>
          </w:p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Стирка и химическая чистка текстильных и меховых изделий;</w:t>
            </w:r>
          </w:p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Строительство жилых и нежилых зданий;</w:t>
            </w:r>
          </w:p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Ремонт обуви и прочих изделий из кожи;</w:t>
            </w:r>
          </w:p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Ремонт одежды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</w:t>
            </w:r>
            <w:bookmarkStart w:id="0" w:name="_GoBack"/>
            <w:bookmarkEnd w:id="0"/>
            <w:r w:rsidRPr="00CB2B1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0,1</w:t>
            </w:r>
          </w:p>
        </w:tc>
      </w:tr>
      <w:tr w:rsidR="00E07E6E" w:rsidRPr="00CB2B15" w:rsidTr="00157A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Ремонт металлоизделий бытового и хозяйственного назначения;</w:t>
            </w:r>
          </w:p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Ремонт мебели;</w:t>
            </w:r>
          </w:p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населения;</w:t>
            </w:r>
          </w:p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Изготовление кухонной мебели по индивидуальному заказу населения;</w:t>
            </w:r>
          </w:p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Ремонт часов и ювелирных изделий;</w:t>
            </w:r>
          </w:p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0,2</w:t>
            </w:r>
          </w:p>
        </w:tc>
      </w:tr>
      <w:tr w:rsidR="00E07E6E" w:rsidRPr="00CB2B15" w:rsidTr="00157A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Деятельность в области фотографии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0,3</w:t>
            </w:r>
          </w:p>
        </w:tc>
      </w:tr>
      <w:tr w:rsidR="00E07E6E" w:rsidRPr="00CB2B15" w:rsidTr="00157A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Предоставление парикмахерских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0,1</w:t>
            </w:r>
          </w:p>
        </w:tc>
      </w:tr>
      <w:tr w:rsidR="00E07E6E" w:rsidRPr="00CB2B15" w:rsidTr="00157A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Ремонт бытовых приборов, домашнего и садового инвентаря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0,1</w:t>
            </w:r>
          </w:p>
        </w:tc>
      </w:tr>
      <w:tr w:rsidR="00E07E6E" w:rsidRPr="00CB2B15" w:rsidTr="00157A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Другие виды бытовых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10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CB2B15">
              <w:rPr>
                <w:rFonts w:ascii="Arial" w:hAnsi="Arial" w:cs="Arial"/>
                <w:bCs/>
              </w:rPr>
              <w:t>(п. 1 в ред. решения Совета муниципального района "Заполярный район" от 22.12.2016</w:t>
            </w:r>
            <w:proofErr w:type="gramEnd"/>
          </w:p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CB2B15">
              <w:rPr>
                <w:rFonts w:ascii="Arial" w:hAnsi="Arial" w:cs="Arial"/>
                <w:bCs/>
              </w:rPr>
              <w:t>N 291-р)</w:t>
            </w:r>
            <w:proofErr w:type="gramEnd"/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ветеринарных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0,3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автотранспортных услуг по перевозке грузов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автотранспортных услуг по перевозке пассажиров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0,1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0,1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Реализация товаров с использованием торговых автоматов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0,1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0,3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Развозная и разносная розничная торговля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0,1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0,2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 xml:space="preserve">Распространение наружной рекламы с использованием рекламных конструкций с автоматической сменой </w:t>
            </w:r>
            <w:r w:rsidRPr="00CB2B15">
              <w:rPr>
                <w:rFonts w:ascii="Arial" w:hAnsi="Arial" w:cs="Arial"/>
                <w:bCs/>
              </w:rPr>
              <w:lastRenderedPageBreak/>
              <w:t>изображения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lastRenderedPageBreak/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lastRenderedPageBreak/>
              <w:t>16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Размещение рекламы на транспортных средствах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по временному размещению и проживанию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  <w:tr w:rsidR="00E07E6E" w:rsidRPr="00CB2B15" w:rsidTr="00157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0,5</w:t>
            </w:r>
          </w:p>
        </w:tc>
      </w:tr>
    </w:tbl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3. Уплата единого налога производится налогоплательщиком по итогам налогового периода не позднее 25-го числа первого месяца следующего налогового периода.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CB2B15">
        <w:rPr>
          <w:rFonts w:ascii="Arial" w:hAnsi="Arial" w:cs="Arial"/>
          <w:bCs/>
        </w:rPr>
        <w:t>Сумма единого налога, исчисленная за налоговый период, уменьшается налогоплательщиками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за этот же период времени в соответствии с законодательством Российской Федерации, при</w:t>
      </w:r>
      <w:proofErr w:type="gramEnd"/>
      <w:r w:rsidRPr="00CB2B15">
        <w:rPr>
          <w:rFonts w:ascii="Arial" w:hAnsi="Arial" w:cs="Arial"/>
          <w:bCs/>
        </w:rPr>
        <w:t xml:space="preserve"> выплате налогоплательщиками вознаграждений работникам, занятым в тех сферах деятельности налогоплательщика, по которым уплачивается единый налог, а также на сумму страховых взносов в виде фиксированных платежей, уплаченных индивидуальными предпринимателями за свое страхование, и на сумму выплаченных работникам пособий по временной нетрудоспособности. При этом сумма единого налога не может быть уменьшена более чем на 50 процентов.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Налоговые декларации по итогам налогового периода представляются налогоплательщиками в налоговые органы не позднее 20-го числа первого месяца следующего налогового периода.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lastRenderedPageBreak/>
        <w:t>--------------------------------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bookmarkStart w:id="1" w:name="Par142"/>
      <w:bookmarkEnd w:id="1"/>
      <w:r w:rsidRPr="00CB2B15">
        <w:rPr>
          <w:rFonts w:ascii="Arial" w:hAnsi="Arial" w:cs="Arial"/>
          <w:bCs/>
        </w:rPr>
        <w:t>&lt;*&gt; Городское поселение - МО "Рабочий поселок Искателей" Ненецкого автономного округа.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bookmarkStart w:id="2" w:name="Par143"/>
      <w:bookmarkEnd w:id="2"/>
      <w:r w:rsidRPr="00CB2B15">
        <w:rPr>
          <w:rFonts w:ascii="Arial" w:hAnsi="Arial" w:cs="Arial"/>
          <w:bCs/>
        </w:rPr>
        <w:t xml:space="preserve">&lt;**&gt; Сельские поселения - поселения, входящие в состав следующих муниципальных образований: </w:t>
      </w:r>
      <w:proofErr w:type="gramStart"/>
      <w:r w:rsidRPr="00CB2B15">
        <w:rPr>
          <w:rFonts w:ascii="Arial" w:hAnsi="Arial" w:cs="Arial"/>
          <w:bCs/>
        </w:rPr>
        <w:t>МО "</w:t>
      </w:r>
      <w:proofErr w:type="spellStart"/>
      <w:r w:rsidRPr="00CB2B15">
        <w:rPr>
          <w:rFonts w:ascii="Arial" w:hAnsi="Arial" w:cs="Arial"/>
          <w:bCs/>
        </w:rPr>
        <w:t>Андегский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</w:t>
      </w:r>
      <w:proofErr w:type="spellStart"/>
      <w:r w:rsidRPr="00CB2B15">
        <w:rPr>
          <w:rFonts w:ascii="Arial" w:hAnsi="Arial" w:cs="Arial"/>
          <w:bCs/>
        </w:rPr>
        <w:t>Великовисочный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</w:t>
      </w:r>
      <w:proofErr w:type="spellStart"/>
      <w:r w:rsidRPr="00CB2B15">
        <w:rPr>
          <w:rFonts w:ascii="Arial" w:hAnsi="Arial" w:cs="Arial"/>
          <w:bCs/>
        </w:rPr>
        <w:t>Канинский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"Карский сельсовет" Ненецкого автономного округа, МО "</w:t>
      </w:r>
      <w:proofErr w:type="spellStart"/>
      <w:r w:rsidRPr="00CB2B15">
        <w:rPr>
          <w:rFonts w:ascii="Arial" w:hAnsi="Arial" w:cs="Arial"/>
          <w:bCs/>
        </w:rPr>
        <w:t>Колгуевский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</w:t>
      </w:r>
      <w:proofErr w:type="spellStart"/>
      <w:r w:rsidRPr="00CB2B15">
        <w:rPr>
          <w:rFonts w:ascii="Arial" w:hAnsi="Arial" w:cs="Arial"/>
          <w:bCs/>
        </w:rPr>
        <w:t>Коткинский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</w:t>
      </w:r>
      <w:proofErr w:type="spellStart"/>
      <w:r w:rsidRPr="00CB2B15">
        <w:rPr>
          <w:rFonts w:ascii="Arial" w:hAnsi="Arial" w:cs="Arial"/>
          <w:bCs/>
        </w:rPr>
        <w:t>Малоземельский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"Омский сельсовет" Ненецкого автономного округа, МО "</w:t>
      </w:r>
      <w:proofErr w:type="spellStart"/>
      <w:r w:rsidRPr="00CB2B15">
        <w:rPr>
          <w:rFonts w:ascii="Arial" w:hAnsi="Arial" w:cs="Arial"/>
          <w:bCs/>
        </w:rPr>
        <w:t>Пешский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</w:t>
      </w:r>
      <w:proofErr w:type="spellStart"/>
      <w:r w:rsidRPr="00CB2B15">
        <w:rPr>
          <w:rFonts w:ascii="Arial" w:hAnsi="Arial" w:cs="Arial"/>
          <w:bCs/>
        </w:rPr>
        <w:t>Приморско-Куйский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</w:t>
      </w:r>
      <w:proofErr w:type="gramEnd"/>
      <w:r w:rsidRPr="00CB2B15">
        <w:rPr>
          <w:rFonts w:ascii="Arial" w:hAnsi="Arial" w:cs="Arial"/>
          <w:bCs/>
        </w:rPr>
        <w:t xml:space="preserve">, </w:t>
      </w:r>
      <w:proofErr w:type="gramStart"/>
      <w:r w:rsidRPr="00CB2B15">
        <w:rPr>
          <w:rFonts w:ascii="Arial" w:hAnsi="Arial" w:cs="Arial"/>
          <w:bCs/>
        </w:rPr>
        <w:t>МО "</w:t>
      </w:r>
      <w:proofErr w:type="spellStart"/>
      <w:r w:rsidRPr="00CB2B15">
        <w:rPr>
          <w:rFonts w:ascii="Arial" w:hAnsi="Arial" w:cs="Arial"/>
          <w:bCs/>
        </w:rPr>
        <w:t>Пустозерский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</w:t>
      </w:r>
      <w:proofErr w:type="spellStart"/>
      <w:r w:rsidRPr="00CB2B15">
        <w:rPr>
          <w:rFonts w:ascii="Arial" w:hAnsi="Arial" w:cs="Arial"/>
          <w:bCs/>
        </w:rPr>
        <w:t>Тельвисочный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</w:t>
      </w:r>
      <w:proofErr w:type="spellStart"/>
      <w:r w:rsidRPr="00CB2B15">
        <w:rPr>
          <w:rFonts w:ascii="Arial" w:hAnsi="Arial" w:cs="Arial"/>
          <w:bCs/>
        </w:rPr>
        <w:t>Тиманский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"Хорей-</w:t>
      </w:r>
      <w:proofErr w:type="spellStart"/>
      <w:r w:rsidRPr="00CB2B15">
        <w:rPr>
          <w:rFonts w:ascii="Arial" w:hAnsi="Arial" w:cs="Arial"/>
          <w:bCs/>
        </w:rPr>
        <w:t>Верский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</w:t>
      </w:r>
      <w:proofErr w:type="spellStart"/>
      <w:r w:rsidRPr="00CB2B15">
        <w:rPr>
          <w:rFonts w:ascii="Arial" w:hAnsi="Arial" w:cs="Arial"/>
          <w:bCs/>
        </w:rPr>
        <w:t>Хоседа-Хардский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</w:t>
      </w:r>
      <w:proofErr w:type="spellStart"/>
      <w:r w:rsidRPr="00CB2B15">
        <w:rPr>
          <w:rFonts w:ascii="Arial" w:hAnsi="Arial" w:cs="Arial"/>
          <w:bCs/>
        </w:rPr>
        <w:t>Шоинский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</w:t>
      </w:r>
      <w:proofErr w:type="spellStart"/>
      <w:r w:rsidRPr="00CB2B15">
        <w:rPr>
          <w:rFonts w:ascii="Arial" w:hAnsi="Arial" w:cs="Arial"/>
          <w:bCs/>
        </w:rPr>
        <w:t>Юшарский</w:t>
      </w:r>
      <w:proofErr w:type="spellEnd"/>
      <w:r w:rsidRPr="00CB2B15">
        <w:rPr>
          <w:rFonts w:ascii="Arial" w:hAnsi="Arial" w:cs="Arial"/>
          <w:bCs/>
        </w:rPr>
        <w:t xml:space="preserve"> сельсовет" Ненецкого автономного округа, МО "Поселок </w:t>
      </w:r>
      <w:proofErr w:type="spellStart"/>
      <w:r w:rsidRPr="00CB2B15">
        <w:rPr>
          <w:rFonts w:ascii="Arial" w:hAnsi="Arial" w:cs="Arial"/>
          <w:bCs/>
        </w:rPr>
        <w:t>Амдерма</w:t>
      </w:r>
      <w:proofErr w:type="spellEnd"/>
      <w:r w:rsidRPr="00CB2B15">
        <w:rPr>
          <w:rFonts w:ascii="Arial" w:hAnsi="Arial" w:cs="Arial"/>
          <w:bCs/>
        </w:rPr>
        <w:t>" Ненецкого автономного округа.</w:t>
      </w:r>
      <w:proofErr w:type="gramEnd"/>
    </w:p>
    <w:p w:rsidR="00E07E6E" w:rsidRPr="00CB2B15" w:rsidRDefault="00E07E6E" w:rsidP="00E07E6E">
      <w:pPr>
        <w:rPr>
          <w:rFonts w:ascii="Arial" w:hAnsi="Arial" w:cs="Arial"/>
        </w:rPr>
      </w:pPr>
    </w:p>
    <w:p w:rsidR="00E07E6E" w:rsidRPr="00CB2B15" w:rsidRDefault="00E07E6E">
      <w:pPr>
        <w:rPr>
          <w:rFonts w:ascii="Arial" w:hAnsi="Arial" w:cs="Arial"/>
        </w:rPr>
      </w:pPr>
    </w:p>
    <w:sectPr w:rsidR="00E07E6E" w:rsidRPr="00CB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BB"/>
    <w:rsid w:val="000735B5"/>
    <w:rsid w:val="00094BBB"/>
    <w:rsid w:val="000C1100"/>
    <w:rsid w:val="00157AEA"/>
    <w:rsid w:val="003E3265"/>
    <w:rsid w:val="00CB2B15"/>
    <w:rsid w:val="00E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Анастасия Сергеевна</dc:creator>
  <cp:lastModifiedBy>user</cp:lastModifiedBy>
  <cp:revision>4</cp:revision>
  <dcterms:created xsi:type="dcterms:W3CDTF">2017-04-13T08:30:00Z</dcterms:created>
  <dcterms:modified xsi:type="dcterms:W3CDTF">2017-04-13T09:11:00Z</dcterms:modified>
</cp:coreProperties>
</file>