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2829"/>
      </w:tblGrid>
      <w:tr>
        <w:tc>
          <w:tcPr>
            <w:tcW w:w="651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 1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УФНС России по Иркутской области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 23.05.2023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07-02-13/080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bookmarkStart w:id="0" w:name="_GoBack"/>
            <w:bookmarkEnd w:id="0"/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Основные положения утвержденной Методики прогнозирования поступлений доходов в консолидированный бюджет Иркутской области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Методика прогнозирования поступлений доходов в консолидированный бюджет Иркутской области на текущий год, очередной финансовый год и плановый период (далее – Методика) разработана в целях реализации УФНС России по Иркутской области полномочий главного администратора доходов консолидированного бюджета Иркутской области в части прогнозирования поступлений доходов, администрируемых ФНС России, а также направлена на обеспечения полноты поступлений доходов в консолидированный бюджет Иркутской области с учётом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основных направлений бюджетной и налоговой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политики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на очередной финансовый год и плановый период.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 июня 2016 г. № 574 «Об общих требованиях к методике прогнозирования поступлений доходов в бюджеты бюджетной системы Российской Федерации» (далее – Общие требования), </w:t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F" w:themeFill="background1"/>
        </w:rPr>
        <w:t>на основании методики прогнозирования поступлений доходов в консолидированный бюджет Российской Федерации, утвержденной приказом ФНС России от 30.12.2021 №</w:t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F" w:themeFill="background1"/>
          <w:lang w:val="en-US"/>
        </w:rPr>
        <w:t> </w:t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F" w:themeFill="background1"/>
        </w:rPr>
        <w:t>СД-7-1/1200@ и согласованной письмом Минфина России от 30.12.2021 № 23-06-06/108156.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расчёте параметров доходов в консолидированный бюджет Иркутской области применяются следующие методы прогнозирования: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прямой расчёт,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усреднение - расчёт,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индексация –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экстраполяция – расчёт, осуществляемый на основании имеющихся данных о тенденциях изменений поступлений в прошлых периодах;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иной способ, который описывается в Методике. 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прогнозировании доходов в консолидированный бюджет Иркутской области используются прогнозные показатели социально-экономического развития субъекта Российской Федерации, разрабатываемые министерством экономического развития Иркутской области (далее – Минэкономразвития региона). 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Для расчета прогнозируемых поступлений доходов в консолидированный бюджет Иркутской области используются показатели форм статистической </w:t>
      </w: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налоговой отчетности (о начислении, поступлении налогов, о задолженности по налогам и сборам, о налоговой базе и структуре начислений по видам налогов), а также материалы органов государственной статистики, аналитическая информация о финансово-хозяйственной деятельности налогоплательщиков, материалы министерств, ведомств и т.д. </w:t>
      </w:r>
      <w:proofErr w:type="gramEnd"/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формировании в текущем финансовом году оценки поступлений доходов в консолидированный бюджет Иркутской области, в том числе, может учитываться фактическое поступление доходов за истекшие месяцы текущего года на основании данных статистической отчетности ФНС России. 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Общими требованиями Методика прогнозирования разработана по каждому виду (в отдельных случаях, по решению главного администратора доходов – подвиду) доходов, администрируемых ФНС России, согласно утвержденной табличной форме.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Сокращения, используемые в тексте Методики прогнозирования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НК РФ – Налоговый кодекс Российской Федерации;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БК РФ – Бюджетный кодекс Российской Федерации;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РФ – Российская Федерация;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ПП РФ –постановление Правительства Российской Федерации;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ФК – Федеральное казначейство;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ОПС – обязательное пенсионное страхование;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НПА – нормативно-правовые акты;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Показатели ПСЭР – показатели прогноза социально-экономического развития Иркутской области на очередной финансовый год и плановый период, разрабатываемые Минэкономразвития региона;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ВРП – валовый региональный продукт;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ВП СХ – валовая продукция сельского хозяйства;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ФЗП – фонд заработной платы;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ИПЦ – индекс потребительских цен; 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ЕСГ – Единая система газоснабжения;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СРП – Соглашение о разделе продукции;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ЕГРЮЛ – Единый государственный реестр юридических лиц; 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ЕГРИП – </w:t>
      </w:r>
      <w:r>
        <w:rPr>
          <w:rFonts w:ascii="Times New Roman" w:hAnsi="Times New Roman" w:cs="Times New Roman"/>
          <w:sz w:val="28"/>
          <w:szCs w:val="28"/>
        </w:rPr>
        <w:t>Единый государственный реестр индивидуальных предпринимателей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КБК – код бюджетной классификации;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ВБР – водно-биологические ресурсы;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– водные объекты;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ВВО – внутренние водные объекты;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Госпошлина – государственная пошлина;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ТС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транспортные средства;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отчет 1-НМ – статистическая налоговая отчетность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отчет 4-НМ - статистическая налоговая отчетность по форме по форме № 4-НМ «Задолженность по налогам и сборам, пеням и налоговым санкциям в бюджетную систему Российской Федерации»;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- отчет 5-П – статистическая налоговая отчетность по форме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№ 5-П «Отчет о налоговой базе и структуре начислений по налогу на прибыль организаций»;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отчет 5-П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статистическая налоговая отчетность по форме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5-ПМ «Отчет о налоговой базе и структуре начислений по налогу на прибыль организаций, зачисляемого в бюджет субъекта РФ»;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отчет 5-КГНМ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статистическая налоговая отчетность по форме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5-КГНМ «Отчет о налоговой базе и сумме исчисленного консолидированными группами налогоплательщиков налога на прибыль организаций, зачисляемого в бюджет субъекта РФ»;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отчет 5-НДФЛ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статистическая налоговая отчетность по форме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№ 5-НДФЛ «Отчет о налоговой базе и структуре начислений по налогу на доходы физических лиц, удерживаемому налоговыми агентами»;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отчет 5-ДДК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статистическая налоговая отчетность по форме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№ 1-ДДК «Отчет о декларировании доходов физическими лицами» и прогнозируемого фонда заработной платы;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отчет 5-АЛ - статистическая налоговая отчетность по форме № 5-АЛ «Отчет о налоговой базе и структуре начислений по акцизам на спирт, алкогольную, спиртосодержащую продукцию и пиво»; 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отчет 5-НП - статистическая налоговая отчетность по форме № 5-НП «Отчет о налоговой базе и структуре начислений по акцизам на нефтепродукты»; 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отчет 5-НИО – статистическая налоговая отчетность по форме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№ 5-НИО «Отчет о налоговой базе и структуре начислений по налогу на имущество организаций»;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отчет 5-ТН – статистическая налоговая отчетность по форме № 5-ТН «Отчет о налоговой базе и структуре начислений по транспортному налогу»;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отчет 5-ИБ – статистическая налоговая отчетность по форме № 5-ИБ «Отчет о налоговой базе и структуре начислений по налогу на игорный бизнес»;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отчет 5-НДПИ – статистическая налоговая отчетность по форме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№ 5-НДПИ «Отчет о налоговой базе и структуре начислений по налогу на добычу полезных ископаемых»;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отчет 5-ЖМ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статистическая налоговая отчетность по форме № 5-ЖМ «Отчет о структуре начислений по сбору за пользование объектами животного мира»;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отчет 5-ВБР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статистическая налоговая отчетность по форме № 5-ВБР «Отчет о структуре начислений по сбору за пользование объектами водных биологических ресурсов»;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отчет ВП – статистическая налоговая отчетность по форме № ВП «Сведения о результатах проверок налогоплательщиков по вопросам соблюдения законодательства о налогах и сборах».</w:t>
      </w:r>
    </w:p>
    <w:sectPr>
      <w:headerReference w:type="default" r:id="rId7"/>
      <w:pgSz w:w="11906" w:h="16838"/>
      <w:pgMar w:top="426" w:right="707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12012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>
        <w:pPr>
          <w:pStyle w:val="a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Брысина Татьяна Петровна</dc:creator>
  <cp:lastModifiedBy>Бадуева Анастасия Игоревна</cp:lastModifiedBy>
  <cp:revision>15</cp:revision>
  <cp:lastPrinted>2022-10-18T04:52:00Z</cp:lastPrinted>
  <dcterms:created xsi:type="dcterms:W3CDTF">2022-02-07T01:51:00Z</dcterms:created>
  <dcterms:modified xsi:type="dcterms:W3CDTF">2023-05-24T04:37:00Z</dcterms:modified>
</cp:coreProperties>
</file>