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ЮРЬЯНСКАЯ РАЙОННАЯ ДУМА 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 ЕДИНОМ НАЛОГЕ НА ВМЕНЕННЫЙ ДОХОД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ДЛЯ ОТДЕЛЬНЫХ ВИДОВ ДЕЯТЕЛЬНОСТИ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5A3B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 Кировской области</w:t>
      </w:r>
      <w:proofErr w:type="gramEnd"/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от 21.12.2012 </w:t>
      </w:r>
      <w:hyperlink r:id="rId5" w:history="1">
        <w:r w:rsidRPr="00915A3B">
          <w:rPr>
            <w:rFonts w:ascii="Times New Roman" w:hAnsi="Times New Roman" w:cs="Times New Roman"/>
            <w:sz w:val="24"/>
            <w:szCs w:val="24"/>
          </w:rPr>
          <w:t>N 19/9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, от 12.11.2014 </w:t>
      </w:r>
      <w:hyperlink r:id="rId6" w:history="1">
        <w:r w:rsidRPr="00915A3B">
          <w:rPr>
            <w:rFonts w:ascii="Times New Roman" w:hAnsi="Times New Roman" w:cs="Times New Roman"/>
            <w:sz w:val="24"/>
            <w:szCs w:val="24"/>
          </w:rPr>
          <w:t>N 31/2</w:t>
        </w:r>
      </w:hyperlink>
      <w:r w:rsidRPr="00915A3B">
        <w:rPr>
          <w:rFonts w:ascii="Times New Roman" w:hAnsi="Times New Roman" w:cs="Times New Roman"/>
          <w:sz w:val="24"/>
          <w:szCs w:val="24"/>
        </w:rPr>
        <w:t>)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15A3B">
          <w:rPr>
            <w:rFonts w:ascii="Times New Roman" w:hAnsi="Times New Roman" w:cs="Times New Roman"/>
            <w:sz w:val="24"/>
            <w:szCs w:val="24"/>
          </w:rPr>
          <w:t>статьей 346.29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Налогового </w:t>
      </w:r>
      <w:hyperlink r:id="rId8" w:history="1">
        <w:r w:rsidRPr="00915A3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915A3B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0" w:history="1">
        <w:r w:rsidRPr="00915A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Юрьянский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Юрьянская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районная Дума решила: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1. Ввести в действие на территории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Юрьянского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 Установить виды предпринимательской деятельности, в отношении которых вводится единый налог на вмененный доход: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915A3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 Кировской области от 21.12.2012 N 19/9)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2.1. Исключен. - </w:t>
      </w:r>
      <w:hyperlink r:id="rId12" w:history="1">
        <w:r w:rsidRPr="00915A3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 Кировской области от 12.11.2014 N 31/2.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2.2. Оказание ветеринарных услуг.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2.3. Исключен. - </w:t>
      </w:r>
      <w:hyperlink r:id="rId13" w:history="1">
        <w:r w:rsidRPr="00915A3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 Кировской области от 12.11.2014 N 31/2.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2.4.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оказания услуг через объекты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деятельности, в отношении которого единый налог не применяется.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2.10. Распространение наружной рекламы с использованием рекламных конструкций.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lastRenderedPageBreak/>
        <w:t>2.11. Размещение рекламы на транспортных средствах.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3. Установить коэффициент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>, корректирующий коэффициент базовой доходности, учитывающий совокупность прочих особенностей ведения предпринимательской деятельности, в том числе ассортимент товаров (работ, услуг), сезонность, время работы, величину доходов, особенности места ведения предпринимательской деятельности и иные особенности.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Корректирующий коэффициент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применяется с учетом размера прожиточного минимума, установленного Правительством Кировской области.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Для налогоплательщиков, использующих труд наемных работников, значение корректирующего коэффициента К2 применяется равным 1, если средняя заработная плата работник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15A3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>) ниже размера прожиточного минимума по Кировской области для трудоспособного населения, установленного за предшествующий к отчетному периоду квартал.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" w:history="1">
        <w:r w:rsidRPr="00915A3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 от 26.11.2008 N 35/4 "О введении на территории муниципального образования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Юрьянский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муниципальный район системы налогообложения в виде единого налога на вмененный доход для отдельных видов деятельности" считать утратившим силу со дня вступления в силу настоящего решения.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официального опубликования, но не ранее 01.01.2013.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6. Опубликовать настоящее решение в районной газете "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Юрьянские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вести".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Глава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Юрьянского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А.Ю.ПОТАПЕНКО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15A3B" w:rsidRPr="00915A3B" w:rsidSect="00E45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БЫТОВЫХ УСЛУГ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005"/>
        <w:gridCol w:w="1644"/>
        <w:gridCol w:w="1587"/>
        <w:gridCol w:w="1701"/>
      </w:tblGrid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5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подгруппы</w:t>
              </w:r>
            </w:hyperlink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 "Бытовые услуги" в соответствии с Общероссийским классификатором услуг населению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Виды бытовых услуг, оказываемых физическим лицам в соответствии с Общероссийским </w:t>
            </w:r>
            <w:hyperlink r:id="rId16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тысячи человек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011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018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и пошив одежды из всех видов тканей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Ремонт, пошив и вязание трикотажных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и пошив меховых и кожаных изделий (кроме головных уборов)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и пошив головных уборов из всех видов тканей, кожи и меха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и пошив чехлов всех видов, портьер, штор, драпировок, покрывал, скатертей, накидок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бытовой техники, компьютеров и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металлоизделий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ксерокопировальных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Заправка картриджей для принтеров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014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015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016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строительство жилья (за исключением индивидуального) и других построек по заказам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018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фотоателье и фот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018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Ритуальные и обрядовые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Прочие услуги непроизводственного характера (за исключением услуг ломбардов)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Нарезка стекла и зеркал, художественная обработка стекла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915A3B" w:rsidRPr="00915A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Для базовых организаций бытового обслуживания по всем видам бытовых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татуажа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пилинга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, пирсинга, услуги по уходу за телом, массажу тела,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криомассажу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, эпиляции тела, татуировке,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бодиарту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соляриев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019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копировально-множительные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15A3B" w:rsidRPr="00915A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15A3B">
                <w:rPr>
                  <w:rFonts w:ascii="Times New Roman" w:hAnsi="Times New Roman" w:cs="Times New Roman"/>
                  <w:sz w:val="24"/>
                  <w:szCs w:val="24"/>
                </w:rPr>
                <w:t>072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4-х и более подгрупп </w:t>
      </w:r>
      <w:hyperlink r:id="rId44" w:history="1">
        <w:r w:rsidRPr="00915A3B">
          <w:rPr>
            <w:rFonts w:ascii="Times New Roman" w:hAnsi="Times New Roman" w:cs="Times New Roman"/>
            <w:sz w:val="24"/>
            <w:szCs w:val="24"/>
          </w:rPr>
          <w:t>группы 01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услуг населению, указанных в настоящем приложении.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уменьшается: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на 50 процентов - в течение первого года после получения профессии, при этом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не может быть меньше 0,02;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на 20 процентов - в течение второго года после получения профессии, при этом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не может быть меньше 0,02.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Право на уменьшение значения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ВЕТЕРИНАРНЫХ УСЛУГ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2145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1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ПО РЕМОНТУ, ТЕХНИЧЕСКОМУ ОБСЛУЖИВАНИЮ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И МОЙКЕ АВТОТРАНСПОРТНЫХ СРЕДСТВ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2145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с численностью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Населенные пункты с численностью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от 1 до 2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Населенные пункты с численностью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менее 1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ПО ПРЕДОСТАВЛЕНИЮ ВО ВРЕМЕННОЕ ВЛАДЕНИЕ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(В ПОЛЬЗОВАНИЕ) МЕСТ ДЛЯ СТОЯНКИ АВТОТРАНСПОРТНЫХ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СРЕДСТВ, А ТАКЖЕ ПО ХРАНЕНИЮ АВТОТРАНСПОРТНЫХ СРЕДСТВ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НА ПЛАТНЫХ СТОЯНКАХ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860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до 30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стоянок для автотранспортных средств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АВТОТРАНСПОРТНЫХ УСЛУГ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5A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915A3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 Кировской области</w:t>
      </w:r>
      <w:proofErr w:type="gramEnd"/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12.11.2014 N 31/2)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По перевозке пассажиров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98"/>
      </w:tblGrid>
      <w:tr w:rsidR="00915A3B" w:rsidRPr="00915A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Виды автотранспортных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до 10 тыс. человек</w:t>
            </w:r>
          </w:p>
        </w:tc>
      </w:tr>
      <w:tr w:rsidR="00915A3B" w:rsidRPr="00915A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 и количеством посадочных мест более 4, кроме оказания услуг по перевозке пассажиров маршрутными такси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15A3B" w:rsidRPr="00915A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 и количеством посадочных мест не более 4, кроме оказания услуг по перевозке пассажиров маршрутными такси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15A3B" w:rsidRPr="00915A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По перевозке грузов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026"/>
        <w:gridCol w:w="1077"/>
        <w:gridCol w:w="737"/>
        <w:gridCol w:w="716"/>
        <w:gridCol w:w="713"/>
        <w:gridCol w:w="742"/>
      </w:tblGrid>
      <w:tr w:rsidR="00915A3B" w:rsidRPr="00915A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Виды автотранспортных услуг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Грузоподъемность транспортных средств (тонн)</w:t>
            </w:r>
          </w:p>
        </w:tc>
      </w:tr>
      <w:tr w:rsidR="00915A3B" w:rsidRPr="00915A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915A3B" w:rsidRPr="00915A3B"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  <w:p w:rsidR="00915A3B" w:rsidRPr="00915A3B" w:rsidRDefault="00915A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3B" w:rsidRPr="00915A3B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предпринимателями и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с количеством транспортных средств не более 20 единиц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РОЗНИЧНАЯ ТОРГОВЛЯ, ОСУЩЕСТВЛЯЕМАЯ ЧЕРЕЗ ОБЪЕКТЫ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СТАЦИОНАРНОЙ ТОРГОВОЙ СЕТИ, ИМЕЮЩИЕ ТОРГОВЫЕ ЗАЛЫ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75"/>
        <w:gridCol w:w="1814"/>
        <w:gridCol w:w="1871"/>
        <w:gridCol w:w="1814"/>
      </w:tblGrid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тыс.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1 тыс. человек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Меха и меховые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Электротовары,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телерадиотовары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, прочие культтовары, стройматериалы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Запасные части и аксессуары для транспортных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Велосипеды и мотоциклы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Корм и предметы ухода за животными и птицами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Мебель, ковры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Товары, бывшие в употреблении (кроме запчастей и автомобилей)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6" w:history="1">
        <w:r w:rsidRPr="00915A3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продукции (ОКП)".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 реализации в торговой точке товаров различного ассортимента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группы товаров, занимающих наибольший удельный вес в товарообороте.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>, утвержденное для административного центра района.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РОЗНИЧНАЯ ТОРГОВЛЯ, ОСУЩЕСТВЛЯЕМАЯ ЧЕРЕЗ ОБЪЕКТЫ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СТАЦИОНАРНОЙ ТОРГОВОЙ СЕТИ, НЕ ИМЕЮЩИЕ ТОРГОВЫХ ЗАЛОВ,</w:t>
      </w:r>
      <w:proofErr w:type="gramEnd"/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А ТАКЖЕ ЧЕРЕЗ ОБЪЕКТЫ НЕСТАЦИОНАРНОЙ ТОРГОВОЙ СЕТИ,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ПЛОЩАДЬ ТОРГОВОГО 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В КОТОРЫХ НЕ ПРЕВЫШАЕТ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5 КВАДРАТНЫХ МЕТРОВ, ЗА ИСКЛЮЧЕНИЕМ РЕАЛИЗАЦИИ ТОВАРОВ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С ПРИМЕНЕНИЕМ ТОРГОВЫХ АВТОМАТОВ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75"/>
        <w:gridCol w:w="1814"/>
        <w:gridCol w:w="1871"/>
        <w:gridCol w:w="1814"/>
      </w:tblGrid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тыс.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1 тыс. человек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Электротовары,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телерадиотовары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, прочие культтовары, стройматериалы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Запасные части и аксессуары для транспортных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Корм и предметы ухода за животными и птицами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Изделия народных художественных промыслов, произведения искусства (живопись, графика, скульптура), изделия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искусства, предметы труда художников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7" w:history="1">
        <w:r w:rsidRPr="00915A3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продукции (ОКП)".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 реализации в торговой точке товаров различного ассортимента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группы товаров, занимающих наибольший удельный вес в товарообороте. 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>, утвержденное для административного центра района.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РОЗНИЧНАЯ ТОРГОВЛЯ, ОСУЩЕСТВЛЯЕМАЯ ЧЕРЕЗ ОБЪЕКТЫ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СТАЦИОНАРНОЙ ТОРГОВОЙ СЕТИ, НЕ ИМЕЮЩИЕ ТОРГОВЫХ ЗАЛОВ,</w:t>
      </w:r>
      <w:proofErr w:type="gramEnd"/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А ТАКЖЕ ЧЕРЕЗ ОБЪЕКТЫ НЕСТАЦИОНАРНОЙ ТОРГОВОЙ СЕТИ, ПЛОЩАДЬ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ТОРГОВОГО 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В КОТОРЫХ ПРЕВЫШАЕТ 5 КВАДРАТНЫХ МЕТРОВ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75"/>
        <w:gridCol w:w="1814"/>
        <w:gridCol w:w="1871"/>
        <w:gridCol w:w="1814"/>
      </w:tblGrid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тыс.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1 тыс. человек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включая подакцизные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Торговля запрещена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товары, кроме нефтепродуктов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Ткани, одежда и белье, обувь, головные уборы (кроме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меховых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), чулочно-носочные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Меха и меховые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моющие средства, мыло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хозяйственное и туалетное, парфюмерно-косметические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Электротовары, </w:t>
            </w:r>
            <w:proofErr w:type="spell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телерадиотовары</w:t>
            </w:r>
            <w:proofErr w:type="spell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, прочие культтовары, стройматериалы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Запасные части и аксессуары для транспортных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(кроме велосипедов)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Торговля запрещена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Ювелирные изделия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Торговля запрещена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Корм и предметы ухода за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 и птицами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медицинские товары и оптика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Мебель, ковры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Товары, бывшие в употреблении (кроме запчастей и автомобилей)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8" w:history="1">
        <w:r w:rsidRPr="00915A3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продукции (ОКП)".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 реализации в торговой точке товаров различного ассортимента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группы товаров, занимающих наибольший удельный вес в товарообороте.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>, утвержденное для административного центра района.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РАЗВОЗНАЯ И РАЗНОСНАЯ РОЗНИЧНАЯ ТОРГОВЛЯ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75"/>
        <w:gridCol w:w="1814"/>
        <w:gridCol w:w="1871"/>
        <w:gridCol w:w="1814"/>
      </w:tblGrid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тыс.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1 тыс. человек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включая подакцизные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Торговля запрещена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товары, кроме нефтепродуктов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Товары бытовой химии, включающие в себя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спиртосодержащую продукцию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Покупка и доставка на дом продуктов питания, горячих обедов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9" w:history="1">
        <w:r w:rsidRPr="00915A3B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915A3B">
        <w:rPr>
          <w:rFonts w:ascii="Times New Roman" w:hAnsi="Times New Roman" w:cs="Times New Roman"/>
          <w:sz w:val="24"/>
          <w:szCs w:val="24"/>
        </w:rPr>
        <w:t xml:space="preserve"> продукции (ОКП)".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ОБЩЕСТВЕННОГО ПИТАНИЯ, ОСУЩЕСТВЛЯЕМЫХ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ЧЕРЕЗ ОБЪЕКТЫ ОБЩЕСТВЕННОГО ПИТАНИЯ, ИМЕЮЩИЕ ЗАЛЫ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ОБСЛУЖИВАНИЯ ПОСЕТИТЕЛЕЙ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75"/>
        <w:gridCol w:w="1814"/>
        <w:gridCol w:w="1871"/>
        <w:gridCol w:w="1814"/>
      </w:tblGrid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Виды деятельности в сфере общественного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с численностью проживающих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до 10 тыс.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Населенные пункты с численностью проживающих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2 тыс.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Населенные пункты с численностью проживающих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 тыс. человек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кафе, баров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общедоступных без реализации алкогольной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по месту работы, учебы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буфетов без реализации алкогольной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Деятельность магазинов (отделов) кулинарии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15A3B" w:rsidRPr="00915A3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питания, быта и досуга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ОБЩЕСТВЕННОГО ПИТАНИЯ, ОСУЩЕСТВЛЯЕМЫХ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ЧЕРЕЗ ОБЪЕКТЫ ОБЩЕСТВЕННОГО ПИТАНИЯ, НЕ ИМЕЮЩИЕ ЗАЛОВ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ОБСЛУЖИВАНИЯ ПОСЕТИТЕЛЕЙ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1474"/>
        <w:gridCol w:w="1417"/>
        <w:gridCol w:w="1474"/>
      </w:tblGrid>
      <w:tr w:rsidR="00915A3B" w:rsidRPr="00915A3B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с численностью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</w:tr>
      <w:tr w:rsidR="00915A3B" w:rsidRPr="00915A3B"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от 2 до 10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от 1 до 2 тыс.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до 1 тыс. человек</w:t>
            </w:r>
          </w:p>
        </w:tc>
      </w:tr>
      <w:tr w:rsidR="00915A3B" w:rsidRPr="00915A3B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РАСПРОСТРАНЕНИЕ И РАЗМЕЩЕНИЕ НАРУЖНОЙ РЕКЛАМЫ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до 2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lastRenderedPageBreak/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ПО ВРЕМЕННОМУ РАЗМЕЩЕНИЮ И ПРОЖИВАНИЮ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до 2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объектам, находящимся вне населенных пунктов,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>, утвержденное для административного центра района.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lastRenderedPageBreak/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ПО ПЕРЕДАЧЕ ВО ВРЕМЕННОЕ ВЛАДЕНИЕ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СТАЦИОНАРНЫХ ТОРГОВЫХ МЕСТ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до 2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метров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объектам, находящимся вне населенных пунктов, применяется значение корректирующего коэффициента К</w:t>
      </w:r>
      <w:proofErr w:type="gramStart"/>
      <w:r w:rsidRPr="00915A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sz w:val="24"/>
          <w:szCs w:val="24"/>
        </w:rPr>
        <w:t>, утвержденное для административного центра района.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ОКАЗАНИЕ УСЛУГ ПО ПЕРЕДАЧЕ ВО ВРЕМЕННОЕ ВЛАДЕНИЕ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ЗЕМЕЛЬНЫХ УЧАСТКОВ ДЛЯ РАЗМЕЩЕНИЯ ОБЪЕКТОВ ТОРГОВОЙ СЕТИ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И ОБЩЕСТВЕННОГО ПИТАНИЯ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до 2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</w:t>
            </w: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 решению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Юрьянской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от 21 ноября 2012 г. N 17/3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КОРРЕКТИРУЮЩЕГО КОЭФФИЦИЕНТА К</w:t>
      </w:r>
      <w:proofErr w:type="gramStart"/>
      <w:r w:rsidRPr="00915A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915A3B">
        <w:rPr>
          <w:rFonts w:ascii="Times New Roman" w:hAnsi="Times New Roman" w:cs="Times New Roman"/>
          <w:b/>
          <w:bCs/>
          <w:sz w:val="24"/>
          <w:szCs w:val="24"/>
        </w:rPr>
        <w:t xml:space="preserve"> ДЛЯ ДЕЯТЕЛЬНОСТИ: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A3B">
        <w:rPr>
          <w:rFonts w:ascii="Times New Roman" w:hAnsi="Times New Roman" w:cs="Times New Roman"/>
          <w:b/>
          <w:bCs/>
          <w:sz w:val="24"/>
          <w:szCs w:val="24"/>
        </w:rPr>
        <w:t>РЕАЛИЗАЦИЯ ТОВАРОВ С ИСПОЛЬЗОВАНИЕМ ТОРГОВЫХ АВТОМАТОВ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A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15A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A3B">
        <w:rPr>
          <w:rFonts w:ascii="Times New Roman" w:hAnsi="Times New Roman" w:cs="Times New Roman"/>
          <w:sz w:val="24"/>
          <w:szCs w:val="24"/>
        </w:rPr>
        <w:t>В официальном тексте документа, видимо, допущена опечатка: имеются в виду слова "Вид деятельности", а не слова "Группы товаров".</w:t>
      </w:r>
    </w:p>
    <w:p w:rsidR="00915A3B" w:rsidRPr="00915A3B" w:rsidRDefault="00915A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2145"/>
        <w:gridCol w:w="2145"/>
        <w:gridCol w:w="2145"/>
      </w:tblGrid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2 до 10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от 1 до 2 тыс. человек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проживающих менее 1 тыс. человек</w:t>
            </w:r>
          </w:p>
        </w:tc>
      </w:tr>
      <w:tr w:rsidR="00915A3B" w:rsidRPr="00915A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A3B" w:rsidRPr="00915A3B" w:rsidRDefault="0091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A3B" w:rsidRPr="00915A3B" w:rsidRDefault="00915A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C2CA9" w:rsidRPr="00915A3B" w:rsidRDefault="00DC2CA9">
      <w:pPr>
        <w:rPr>
          <w:rFonts w:ascii="Times New Roman" w:hAnsi="Times New Roman" w:cs="Times New Roman"/>
          <w:sz w:val="24"/>
          <w:szCs w:val="24"/>
        </w:rPr>
      </w:pPr>
    </w:p>
    <w:sectPr w:rsidR="00DC2CA9" w:rsidRPr="00915A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3B"/>
    <w:rsid w:val="00915A3B"/>
    <w:rsid w:val="00D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00B1966F664C229931459FE490D6E5810C5467BF9C15A245ED255CDA6F4616F623A1F10F5118F1226B5Cx9OFF" TargetMode="External"/><Relationship Id="rId18" Type="http://schemas.openxmlformats.org/officeDocument/2006/relationships/hyperlink" Target="consultantplus://offline/ref=B100B1966F664C2299315B92F2FC8AEC8002026DB29818F11BB27E018D664C41B16CF8B34B5F1EF8x2O6F" TargetMode="External"/><Relationship Id="rId26" Type="http://schemas.openxmlformats.org/officeDocument/2006/relationships/hyperlink" Target="consultantplus://offline/ref=B100B1966F664C2299315B92F2FC8AEC8002026DB29818F11BB27E018D664C41B16CF8B34B5F1EF6x2O7F" TargetMode="External"/><Relationship Id="rId39" Type="http://schemas.openxmlformats.org/officeDocument/2006/relationships/hyperlink" Target="consultantplus://offline/ref=B100B1966F664C2299315B92F2FC8AEC8002026DB29818F11BB27E018D664C41B16CF8B34B5F1EF5x2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00B1966F664C2299315B92F2FC8AEC8002026DB29818F11BB27E018D664C41B16CF8B34B5C18F7x2O7F" TargetMode="External"/><Relationship Id="rId34" Type="http://schemas.openxmlformats.org/officeDocument/2006/relationships/hyperlink" Target="consultantplus://offline/ref=B100B1966F664C2299315B92F2FC8AEC8002026DB29818F11BB27E018D664C41B16CF8B34B5F1EF8x2OAF" TargetMode="External"/><Relationship Id="rId42" Type="http://schemas.openxmlformats.org/officeDocument/2006/relationships/hyperlink" Target="consultantplus://offline/ref=B100B1966F664C2299315B92F2FC8AEC8002026DB29818F11BB27E018D664C41B16CF8B34B5F11F0x2O2F" TargetMode="External"/><Relationship Id="rId47" Type="http://schemas.openxmlformats.org/officeDocument/2006/relationships/hyperlink" Target="consultantplus://offline/ref=B100B1966F664C2299315B92F2FC8AEC80000B62B09C18F11BB27E018Dx6O6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100B1966F664C2299315B92F2FC8AEC80000A68B59D18F11BB27E018D664C41B16CF8B34B5F1EF6x2O7F" TargetMode="External"/><Relationship Id="rId12" Type="http://schemas.openxmlformats.org/officeDocument/2006/relationships/hyperlink" Target="consultantplus://offline/ref=B100B1966F664C229931459FE490D6E5810C5467BF9C15A245ED255CDA6F4616F623A1F10F5118F1226B5Cx9OEF" TargetMode="External"/><Relationship Id="rId17" Type="http://schemas.openxmlformats.org/officeDocument/2006/relationships/hyperlink" Target="consultantplus://offline/ref=B100B1966F664C2299315B92F2FC8AEC8002026DB29818F11BB27E018D664C41B16CF8B34B5C19F6x2O3F" TargetMode="External"/><Relationship Id="rId25" Type="http://schemas.openxmlformats.org/officeDocument/2006/relationships/hyperlink" Target="consultantplus://offline/ref=B100B1966F664C2299315B92F2FC8AEC8002026DB29818F11BB27E018D664C41B16CF8B34B5F1EF6x2O3F" TargetMode="External"/><Relationship Id="rId33" Type="http://schemas.openxmlformats.org/officeDocument/2006/relationships/hyperlink" Target="consultantplus://offline/ref=B100B1966F664C2299315B92F2FC8AEC8002026DB29818F11BB27E018D664C41B16CF8B34B5F1EF8x2O6F" TargetMode="External"/><Relationship Id="rId38" Type="http://schemas.openxmlformats.org/officeDocument/2006/relationships/hyperlink" Target="consultantplus://offline/ref=B100B1966F664C2299315B92F2FC8AEC8002026DB29818F11BB27E018D664C41B16CF8B34B5F1EF5x2O6F" TargetMode="External"/><Relationship Id="rId46" Type="http://schemas.openxmlformats.org/officeDocument/2006/relationships/hyperlink" Target="consultantplus://offline/ref=B100B1966F664C2299315B92F2FC8AEC80000B62B09C18F11BB27E018Dx6O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00B1966F664C2299315B92F2FC8AEC8002026DB29818F11BB27E018Dx6O6F" TargetMode="External"/><Relationship Id="rId20" Type="http://schemas.openxmlformats.org/officeDocument/2006/relationships/hyperlink" Target="consultantplus://offline/ref=B100B1966F664C2299315B92F2FC8AEC8002026DB29818F11BB27E018D664C41B16CF8B34B5C18F7x2O7F" TargetMode="External"/><Relationship Id="rId29" Type="http://schemas.openxmlformats.org/officeDocument/2006/relationships/hyperlink" Target="consultantplus://offline/ref=B100B1966F664C2299315B92F2FC8AEC8002026DB29818F11BB27E018D664C41B16CF8B34B5C1FF7x2O1F" TargetMode="External"/><Relationship Id="rId41" Type="http://schemas.openxmlformats.org/officeDocument/2006/relationships/hyperlink" Target="consultantplus://offline/ref=B100B1966F664C2299315B92F2FC8AEC8002026DB29818F11BB27E018D664C41B16CF8B34B5F11F1x2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0B1966F664C229931459FE490D6E5810C5467BF9C15A245ED255CDA6F4616F623A1F10F5118F1226B5Cx9ODF" TargetMode="External"/><Relationship Id="rId11" Type="http://schemas.openxmlformats.org/officeDocument/2006/relationships/hyperlink" Target="consultantplus://offline/ref=B100B1966F664C229931459FE490D6E5810C5467B19C11A343ED255CDA6F4616F623A1F10F5118F1226B5Cx9OEF" TargetMode="External"/><Relationship Id="rId24" Type="http://schemas.openxmlformats.org/officeDocument/2006/relationships/hyperlink" Target="consultantplus://offline/ref=B100B1966F664C2299315B92F2FC8AEC8002026DB29818F11BB27E018D664C41B16CF8B34B5F1EF6x2O2F" TargetMode="External"/><Relationship Id="rId32" Type="http://schemas.openxmlformats.org/officeDocument/2006/relationships/hyperlink" Target="consultantplus://offline/ref=B100B1966F664C2299315B92F2FC8AEC8002026DB29818F11BB27E018D664C41B16CF8B34B5F1EF8x2O2F" TargetMode="External"/><Relationship Id="rId37" Type="http://schemas.openxmlformats.org/officeDocument/2006/relationships/hyperlink" Target="consultantplus://offline/ref=B100B1966F664C2299315B92F2FC8AEC8002026DB29818F11BB27E018D664C41B16CF8B34B5D1DF1x2O4F" TargetMode="External"/><Relationship Id="rId40" Type="http://schemas.openxmlformats.org/officeDocument/2006/relationships/hyperlink" Target="consultantplus://offline/ref=B100B1966F664C2299315B92F2FC8AEC8002026DB29818F11BB27E018D664C41B16CF8B34B5F11F1x2O3F" TargetMode="External"/><Relationship Id="rId45" Type="http://schemas.openxmlformats.org/officeDocument/2006/relationships/hyperlink" Target="consultantplus://offline/ref=B100B1966F664C229931459FE490D6E5810C5467BF9C15A245ED255CDA6F4616F623A1F10F5118F1226B5Cx9O0F" TargetMode="External"/><Relationship Id="rId5" Type="http://schemas.openxmlformats.org/officeDocument/2006/relationships/hyperlink" Target="consultantplus://offline/ref=B100B1966F664C229931459FE490D6E5810C5467B19C11A343ED255CDA6F4616F623A1F10F5118F1226B5Cx9ODF" TargetMode="External"/><Relationship Id="rId15" Type="http://schemas.openxmlformats.org/officeDocument/2006/relationships/hyperlink" Target="consultantplus://offline/ref=B100B1966F664C2299315B92F2FC8AEC8002026DB29818F11BB27E018D664C41B16CF8B34B5C19F7x2OBF" TargetMode="External"/><Relationship Id="rId23" Type="http://schemas.openxmlformats.org/officeDocument/2006/relationships/hyperlink" Target="consultantplus://offline/ref=B100B1966F664C2299315B92F2FC8AEC8002026DB29818F11BB27E018D664C41B16CF8B34B5C18F7x2O7F" TargetMode="External"/><Relationship Id="rId28" Type="http://schemas.openxmlformats.org/officeDocument/2006/relationships/hyperlink" Target="consultantplus://offline/ref=B100B1966F664C2299315B92F2FC8AEC8002026DB29818F11BB27E018D664C41B16CF8B34B5F1EF6x2O6F" TargetMode="External"/><Relationship Id="rId36" Type="http://schemas.openxmlformats.org/officeDocument/2006/relationships/hyperlink" Target="consultantplus://offline/ref=B100B1966F664C2299315B92F2FC8AEC8002026DB29818F11BB27E018D664C41B16CF8B34B5F11F1x2O1F" TargetMode="External"/><Relationship Id="rId49" Type="http://schemas.openxmlformats.org/officeDocument/2006/relationships/hyperlink" Target="consultantplus://offline/ref=B100B1966F664C2299315B92F2FC8AEC80000B62B09C18F11BB27E018Dx6O6F" TargetMode="External"/><Relationship Id="rId10" Type="http://schemas.openxmlformats.org/officeDocument/2006/relationships/hyperlink" Target="consultantplus://offline/ref=B100B1966F664C229931459FE490D6E5810C5467BF9F12A440ED255CDA6F4616F623A1F10F5118F1226A55x9OFF" TargetMode="External"/><Relationship Id="rId19" Type="http://schemas.openxmlformats.org/officeDocument/2006/relationships/hyperlink" Target="consultantplus://offline/ref=B100B1966F664C2299315B92F2FC8AEC8002026DB29818F11BB27E018D664C41B16CF8B34B5C18F7x2O7F" TargetMode="External"/><Relationship Id="rId31" Type="http://schemas.openxmlformats.org/officeDocument/2006/relationships/hyperlink" Target="consultantplus://offline/ref=B100B1966F664C2299315B92F2FC8AEC8002026DB29818F11BB27E018D664C41B16CF8B34B5C11F3x2OAF" TargetMode="External"/><Relationship Id="rId44" Type="http://schemas.openxmlformats.org/officeDocument/2006/relationships/hyperlink" Target="consultantplus://offline/ref=B100B1966F664C2299315B92F2FC8AEC8002026DB29818F11BB27E018D664C41B16CF8B34B5C19F7x2O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0B1966F664C2299315B92F2FC8AEC80010C68B49F18F11BB27E018D664C41B16CF8B34B5C1DF0x2OBF" TargetMode="External"/><Relationship Id="rId14" Type="http://schemas.openxmlformats.org/officeDocument/2006/relationships/hyperlink" Target="consultantplus://offline/ref=B100B1966F664C229931459FE490D6E5810C5467B49F11A241ED255CDA6F4616xFO6F" TargetMode="External"/><Relationship Id="rId22" Type="http://schemas.openxmlformats.org/officeDocument/2006/relationships/hyperlink" Target="consultantplus://offline/ref=B100B1966F664C2299315B92F2FC8AEC8002026DB29818F11BB27E018D664C41B16CF8B34B5C18F7x2O7F" TargetMode="External"/><Relationship Id="rId27" Type="http://schemas.openxmlformats.org/officeDocument/2006/relationships/hyperlink" Target="consultantplus://offline/ref=B100B1966F664C2299315B92F2FC8AEC8002026DB29818F11BB27E018D664C41B16CF8B34B5F1EF6x2O1F" TargetMode="External"/><Relationship Id="rId30" Type="http://schemas.openxmlformats.org/officeDocument/2006/relationships/hyperlink" Target="consultantplus://offline/ref=B100B1966F664C2299315B92F2FC8AEC8002026DB29818F11BB27E018D664C41B16CF8B34B5C1FF8x2O4F" TargetMode="External"/><Relationship Id="rId35" Type="http://schemas.openxmlformats.org/officeDocument/2006/relationships/hyperlink" Target="consultantplus://offline/ref=B100B1966F664C2299315B92F2FC8AEC8002026DB29818F11BB27E018D664C41B16CF8B34B5F11F1x2O2F" TargetMode="External"/><Relationship Id="rId43" Type="http://schemas.openxmlformats.org/officeDocument/2006/relationships/hyperlink" Target="consultantplus://offline/ref=B100B1966F664C2299315B92F2FC8AEC8002026DB29818F11BB27E018D664C41B16CF8B34B5F11F3x2OBF" TargetMode="External"/><Relationship Id="rId48" Type="http://schemas.openxmlformats.org/officeDocument/2006/relationships/hyperlink" Target="consultantplus://offline/ref=B100B1966F664C2299315B92F2FC8AEC80000B62B09C18F11BB27E018Dx6O6F" TargetMode="External"/><Relationship Id="rId8" Type="http://schemas.openxmlformats.org/officeDocument/2006/relationships/hyperlink" Target="consultantplus://offline/ref=B100B1966F664C2299315B92F2FC8AEC80000A68B59D18F11BB27E018D664C41B16CF8B34B5F1EF3x2O7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Людмила Владимировна Гонина</cp:lastModifiedBy>
  <cp:revision>1</cp:revision>
  <dcterms:created xsi:type="dcterms:W3CDTF">2015-01-23T05:14:00Z</dcterms:created>
  <dcterms:modified xsi:type="dcterms:W3CDTF">2015-01-23T05:15:00Z</dcterms:modified>
</cp:coreProperties>
</file>