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284"/>
        <w:gridCol w:w="567"/>
        <w:gridCol w:w="283"/>
        <w:gridCol w:w="1560"/>
        <w:gridCol w:w="992"/>
        <w:gridCol w:w="3544"/>
        <w:gridCol w:w="567"/>
        <w:gridCol w:w="2409"/>
      </w:tblGrid>
      <w:tr w:rsidR="009D37F7" w:rsidTr="004753C0">
        <w:tblPrEx>
          <w:tblCellMar>
            <w:top w:w="0" w:type="dxa"/>
            <w:bottom w:w="0" w:type="dxa"/>
          </w:tblCellMar>
        </w:tblPrEx>
        <w:trPr>
          <w:trHeight w:hRule="exact" w:val="1814"/>
        </w:trPr>
        <w:tc>
          <w:tcPr>
            <w:tcW w:w="10206" w:type="dxa"/>
            <w:gridSpan w:val="8"/>
          </w:tcPr>
          <w:p w:rsidR="009D37F7" w:rsidRPr="0033719B" w:rsidRDefault="009D37F7" w:rsidP="004753C0">
            <w:pPr>
              <w:pStyle w:val="a3"/>
              <w:spacing w:before="60" w:after="0"/>
              <w:rPr>
                <w:b w:val="0"/>
                <w:sz w:val="20"/>
              </w:rPr>
            </w:pPr>
            <w:r w:rsidRPr="0033719B">
              <w:rPr>
                <w:b w:val="0"/>
                <w:sz w:val="20"/>
              </w:rPr>
              <w:t>МИНФИН РОССИИ</w:t>
            </w:r>
          </w:p>
          <w:p w:rsidR="009D37F7" w:rsidRDefault="009D37F7" w:rsidP="004753C0">
            <w:pPr>
              <w:spacing w:before="80" w:after="60" w:line="120" w:lineRule="exact"/>
              <w:jc w:val="center"/>
              <w:rPr>
                <w:bCs/>
                <w:sz w:val="20"/>
              </w:rPr>
            </w:pPr>
            <w:r w:rsidRPr="0033719B">
              <w:rPr>
                <w:bCs/>
                <w:sz w:val="20"/>
              </w:rPr>
              <w:t>ФЕДЕРАЛЬНАЯ НАЛОГОВАЯ СЛУЖБА</w:t>
            </w:r>
          </w:p>
          <w:p w:rsidR="009D37F7" w:rsidRDefault="009D37F7" w:rsidP="004753C0">
            <w:pPr>
              <w:spacing w:before="60" w:after="60"/>
              <w:jc w:val="center"/>
              <w:rPr>
                <w:bCs/>
                <w:sz w:val="16"/>
                <w:szCs w:val="16"/>
              </w:rPr>
            </w:pPr>
            <w:r w:rsidRPr="00B002A7">
              <w:rPr>
                <w:bCs/>
                <w:sz w:val="18"/>
                <w:szCs w:val="18"/>
              </w:rPr>
              <w:t xml:space="preserve">УФНС РОССИИ ПО </w:t>
            </w:r>
            <w:r>
              <w:rPr>
                <w:bCs/>
                <w:sz w:val="18"/>
                <w:szCs w:val="18"/>
              </w:rPr>
              <w:t>НИЖЕГОРОДСКО</w:t>
            </w:r>
            <w:r w:rsidRPr="00B002A7">
              <w:rPr>
                <w:bCs/>
                <w:sz w:val="18"/>
                <w:szCs w:val="18"/>
              </w:rPr>
              <w:t>Й ОБЛА</w:t>
            </w:r>
            <w:r w:rsidRPr="00B002A7">
              <w:rPr>
                <w:bCs/>
                <w:sz w:val="16"/>
                <w:szCs w:val="16"/>
              </w:rPr>
              <w:t>СТИ</w:t>
            </w:r>
          </w:p>
          <w:p w:rsidR="009D37F7" w:rsidRPr="00614649" w:rsidRDefault="009D37F7" w:rsidP="004753C0">
            <w:pPr>
              <w:spacing w:before="60" w:after="60"/>
              <w:jc w:val="center"/>
              <w:rPr>
                <w:bCs/>
                <w:sz w:val="4"/>
                <w:szCs w:val="4"/>
              </w:rPr>
            </w:pPr>
          </w:p>
          <w:p w:rsidR="009D37F7" w:rsidRPr="009D1799" w:rsidRDefault="009D37F7" w:rsidP="004753C0">
            <w:pPr>
              <w:spacing w:after="40" w:line="216" w:lineRule="auto"/>
              <w:rPr>
                <w:b/>
                <w:bCs/>
                <w:sz w:val="18"/>
                <w:szCs w:val="18"/>
              </w:rPr>
            </w:pPr>
            <w:r>
              <w:rPr>
                <w:b/>
                <w:bCs/>
                <w:sz w:val="18"/>
                <w:szCs w:val="18"/>
              </w:rPr>
              <w:t>МЕЖРАЙ</w:t>
            </w:r>
            <w:r w:rsidRPr="009D1799">
              <w:rPr>
                <w:b/>
                <w:bCs/>
                <w:sz w:val="18"/>
                <w:szCs w:val="18"/>
              </w:rPr>
              <w:t xml:space="preserve">ОННАЯ ИНСПЕКЦИЯ </w:t>
            </w:r>
            <w:r>
              <w:rPr>
                <w:b/>
                <w:bCs/>
                <w:sz w:val="18"/>
                <w:szCs w:val="18"/>
              </w:rPr>
              <w:t xml:space="preserve"> </w:t>
            </w:r>
            <w:r w:rsidRPr="009D1799">
              <w:rPr>
                <w:b/>
                <w:bCs/>
                <w:sz w:val="18"/>
                <w:szCs w:val="18"/>
              </w:rPr>
              <w:t>ФЕДЕРАЛЬНОЙ НАЛОГОВОЙ СЛУЖБЫ  № 7</w:t>
            </w:r>
            <w:r>
              <w:rPr>
                <w:b/>
                <w:bCs/>
                <w:sz w:val="18"/>
                <w:szCs w:val="18"/>
              </w:rPr>
              <w:t xml:space="preserve">  </w:t>
            </w:r>
            <w:r w:rsidRPr="009D1799">
              <w:rPr>
                <w:b/>
                <w:bCs/>
                <w:sz w:val="18"/>
                <w:szCs w:val="18"/>
              </w:rPr>
              <w:t>ПО НИЖЕГОРОДСКОЙ ОБЛАСТИ</w:t>
            </w:r>
          </w:p>
          <w:p w:rsidR="009D37F7" w:rsidRPr="005B37B2" w:rsidRDefault="009D37F7" w:rsidP="004753C0">
            <w:pPr>
              <w:tabs>
                <w:tab w:val="left" w:pos="4180"/>
              </w:tabs>
              <w:jc w:val="center"/>
              <w:rPr>
                <w:sz w:val="18"/>
                <w:szCs w:val="18"/>
              </w:rPr>
            </w:pPr>
            <w:r w:rsidRPr="005B37B2">
              <w:rPr>
                <w:sz w:val="18"/>
                <w:szCs w:val="18"/>
              </w:rPr>
              <w:t>(</w:t>
            </w:r>
            <w:proofErr w:type="gramStart"/>
            <w:r w:rsidRPr="00433A78">
              <w:rPr>
                <w:sz w:val="18"/>
                <w:szCs w:val="18"/>
              </w:rPr>
              <w:t>Межрайонная</w:t>
            </w:r>
            <w:proofErr w:type="gramEnd"/>
            <w:r w:rsidRPr="00433A78">
              <w:rPr>
                <w:sz w:val="18"/>
                <w:szCs w:val="18"/>
              </w:rPr>
              <w:t xml:space="preserve"> ИФНС России  № 7 по Нижегородской  области</w:t>
            </w:r>
            <w:r w:rsidRPr="005B37B2">
              <w:rPr>
                <w:sz w:val="18"/>
                <w:szCs w:val="18"/>
              </w:rPr>
              <w:t>)</w:t>
            </w:r>
          </w:p>
          <w:p w:rsidR="009D37F7" w:rsidRDefault="009D37F7" w:rsidP="004753C0">
            <w:pPr>
              <w:pStyle w:val="a3"/>
              <w:spacing w:before="60" w:after="0"/>
              <w:rPr>
                <w:spacing w:val="30"/>
              </w:rPr>
            </w:pPr>
            <w:r>
              <w:rPr>
                <w:spacing w:val="30"/>
                <w:sz w:val="32"/>
              </w:rPr>
              <w:t>ПРИКАЗ</w:t>
            </w:r>
          </w:p>
        </w:tc>
      </w:tr>
      <w:tr w:rsidR="009D37F7" w:rsidTr="004753C0">
        <w:tblPrEx>
          <w:tblCellMar>
            <w:top w:w="0" w:type="dxa"/>
            <w:left w:w="75" w:type="dxa"/>
            <w:bottom w:w="0" w:type="dxa"/>
            <w:right w:w="75" w:type="dxa"/>
          </w:tblCellMar>
        </w:tblPrEx>
        <w:trPr>
          <w:cantSplit/>
        </w:trPr>
        <w:tc>
          <w:tcPr>
            <w:tcW w:w="284" w:type="dxa"/>
          </w:tcPr>
          <w:p w:rsidR="009D37F7" w:rsidRDefault="009D37F7" w:rsidP="004753C0">
            <w:pPr>
              <w:rPr>
                <w:sz w:val="24"/>
              </w:rPr>
            </w:pPr>
            <w:r>
              <w:t>«</w:t>
            </w:r>
          </w:p>
        </w:tc>
        <w:tc>
          <w:tcPr>
            <w:tcW w:w="567" w:type="dxa"/>
            <w:tcBorders>
              <w:bottom w:val="single" w:sz="4" w:space="0" w:color="auto"/>
            </w:tcBorders>
          </w:tcPr>
          <w:p w:rsidR="009D37F7" w:rsidRPr="00654AE4" w:rsidRDefault="009D37F7" w:rsidP="004753C0">
            <w:pPr>
              <w:rPr>
                <w:sz w:val="24"/>
                <w:lang w:val="en-US"/>
              </w:rPr>
            </w:pPr>
            <w:r>
              <w:rPr>
                <w:sz w:val="24"/>
                <w:lang w:val="en-US"/>
              </w:rPr>
              <w:t>11</w:t>
            </w:r>
          </w:p>
        </w:tc>
        <w:tc>
          <w:tcPr>
            <w:tcW w:w="283" w:type="dxa"/>
          </w:tcPr>
          <w:p w:rsidR="009D37F7" w:rsidRDefault="009D37F7" w:rsidP="004753C0">
            <w:pPr>
              <w:rPr>
                <w:sz w:val="24"/>
              </w:rPr>
            </w:pPr>
            <w:r>
              <w:t>»</w:t>
            </w:r>
          </w:p>
        </w:tc>
        <w:tc>
          <w:tcPr>
            <w:tcW w:w="1560" w:type="dxa"/>
            <w:tcBorders>
              <w:bottom w:val="single" w:sz="4" w:space="0" w:color="auto"/>
            </w:tcBorders>
          </w:tcPr>
          <w:p w:rsidR="009D37F7" w:rsidRPr="00654AE4" w:rsidRDefault="009D37F7" w:rsidP="004753C0">
            <w:pPr>
              <w:rPr>
                <w:sz w:val="24"/>
              </w:rPr>
            </w:pPr>
            <w:r>
              <w:rPr>
                <w:sz w:val="24"/>
              </w:rPr>
              <w:t>декабря</w:t>
            </w:r>
          </w:p>
        </w:tc>
        <w:tc>
          <w:tcPr>
            <w:tcW w:w="992" w:type="dxa"/>
          </w:tcPr>
          <w:p w:rsidR="009D37F7" w:rsidRDefault="009D37F7" w:rsidP="004753C0">
            <w:pPr>
              <w:rPr>
                <w:sz w:val="24"/>
              </w:rPr>
            </w:pPr>
            <w:r>
              <w:rPr>
                <w:sz w:val="24"/>
              </w:rPr>
              <w:t>201</w:t>
            </w:r>
            <w:r>
              <w:rPr>
                <w:sz w:val="24"/>
                <w:lang w:val="en-US"/>
              </w:rPr>
              <w:t>8</w:t>
            </w:r>
            <w:r>
              <w:rPr>
                <w:sz w:val="24"/>
              </w:rPr>
              <w:t xml:space="preserve"> г.</w:t>
            </w:r>
          </w:p>
        </w:tc>
        <w:tc>
          <w:tcPr>
            <w:tcW w:w="3544" w:type="dxa"/>
          </w:tcPr>
          <w:p w:rsidR="009D37F7" w:rsidRDefault="009D37F7" w:rsidP="004753C0">
            <w:pPr>
              <w:rPr>
                <w:sz w:val="24"/>
              </w:rPr>
            </w:pPr>
          </w:p>
        </w:tc>
        <w:tc>
          <w:tcPr>
            <w:tcW w:w="567" w:type="dxa"/>
          </w:tcPr>
          <w:p w:rsidR="009D37F7" w:rsidRDefault="009D37F7" w:rsidP="004753C0">
            <w:pPr>
              <w:rPr>
                <w:sz w:val="24"/>
              </w:rPr>
            </w:pPr>
            <w:r>
              <w:rPr>
                <w:sz w:val="24"/>
              </w:rPr>
              <w:t>№</w:t>
            </w:r>
          </w:p>
        </w:tc>
        <w:tc>
          <w:tcPr>
            <w:tcW w:w="2409" w:type="dxa"/>
            <w:tcBorders>
              <w:bottom w:val="single" w:sz="4" w:space="0" w:color="auto"/>
            </w:tcBorders>
          </w:tcPr>
          <w:p w:rsidR="009D37F7" w:rsidRDefault="009D37F7" w:rsidP="004753C0">
            <w:pPr>
              <w:rPr>
                <w:sz w:val="24"/>
              </w:rPr>
            </w:pPr>
            <w:r>
              <w:rPr>
                <w:sz w:val="24"/>
              </w:rPr>
              <w:t>01-06/56</w:t>
            </w:r>
          </w:p>
        </w:tc>
      </w:tr>
      <w:tr w:rsidR="009D37F7" w:rsidTr="004753C0">
        <w:tblPrEx>
          <w:tblCellMar>
            <w:top w:w="0" w:type="dxa"/>
            <w:bottom w:w="0" w:type="dxa"/>
          </w:tblCellMar>
        </w:tblPrEx>
        <w:tc>
          <w:tcPr>
            <w:tcW w:w="284" w:type="dxa"/>
          </w:tcPr>
          <w:p w:rsidR="009D37F7" w:rsidRDefault="009D37F7" w:rsidP="004753C0">
            <w:pPr>
              <w:jc w:val="center"/>
              <w:rPr>
                <w:sz w:val="16"/>
              </w:rPr>
            </w:pPr>
          </w:p>
        </w:tc>
        <w:tc>
          <w:tcPr>
            <w:tcW w:w="567" w:type="dxa"/>
            <w:tcBorders>
              <w:top w:val="single" w:sz="4" w:space="0" w:color="auto"/>
            </w:tcBorders>
          </w:tcPr>
          <w:p w:rsidR="009D37F7" w:rsidRDefault="009D37F7" w:rsidP="004753C0">
            <w:pPr>
              <w:jc w:val="center"/>
              <w:rPr>
                <w:sz w:val="16"/>
              </w:rPr>
            </w:pPr>
          </w:p>
        </w:tc>
        <w:tc>
          <w:tcPr>
            <w:tcW w:w="283" w:type="dxa"/>
          </w:tcPr>
          <w:p w:rsidR="009D37F7" w:rsidRDefault="009D37F7" w:rsidP="004753C0">
            <w:pPr>
              <w:jc w:val="center"/>
              <w:rPr>
                <w:sz w:val="16"/>
              </w:rPr>
            </w:pPr>
          </w:p>
        </w:tc>
        <w:tc>
          <w:tcPr>
            <w:tcW w:w="1560" w:type="dxa"/>
            <w:tcBorders>
              <w:top w:val="single" w:sz="4" w:space="0" w:color="auto"/>
            </w:tcBorders>
          </w:tcPr>
          <w:p w:rsidR="009D37F7" w:rsidRDefault="009D37F7" w:rsidP="004753C0">
            <w:pPr>
              <w:jc w:val="center"/>
              <w:rPr>
                <w:sz w:val="16"/>
              </w:rPr>
            </w:pPr>
          </w:p>
        </w:tc>
        <w:tc>
          <w:tcPr>
            <w:tcW w:w="992" w:type="dxa"/>
          </w:tcPr>
          <w:p w:rsidR="009D37F7" w:rsidRDefault="009D37F7" w:rsidP="004753C0">
            <w:pPr>
              <w:jc w:val="center"/>
              <w:rPr>
                <w:sz w:val="16"/>
              </w:rPr>
            </w:pPr>
          </w:p>
        </w:tc>
        <w:tc>
          <w:tcPr>
            <w:tcW w:w="3544" w:type="dxa"/>
          </w:tcPr>
          <w:p w:rsidR="009D37F7" w:rsidRDefault="009D37F7" w:rsidP="004753C0">
            <w:pPr>
              <w:jc w:val="center"/>
              <w:rPr>
                <w:sz w:val="16"/>
              </w:rPr>
            </w:pPr>
          </w:p>
        </w:tc>
        <w:tc>
          <w:tcPr>
            <w:tcW w:w="567" w:type="dxa"/>
          </w:tcPr>
          <w:p w:rsidR="009D37F7" w:rsidRDefault="009D37F7" w:rsidP="004753C0">
            <w:pPr>
              <w:jc w:val="center"/>
              <w:rPr>
                <w:sz w:val="16"/>
              </w:rPr>
            </w:pPr>
          </w:p>
        </w:tc>
        <w:tc>
          <w:tcPr>
            <w:tcW w:w="2409" w:type="dxa"/>
            <w:tcBorders>
              <w:top w:val="single" w:sz="4" w:space="0" w:color="auto"/>
            </w:tcBorders>
          </w:tcPr>
          <w:p w:rsidR="009D37F7" w:rsidRDefault="009D37F7" w:rsidP="004753C0">
            <w:pPr>
              <w:jc w:val="center"/>
              <w:rPr>
                <w:sz w:val="16"/>
              </w:rPr>
            </w:pPr>
          </w:p>
        </w:tc>
      </w:tr>
      <w:tr w:rsidR="009D37F7" w:rsidTr="004753C0">
        <w:tblPrEx>
          <w:tblCellMar>
            <w:top w:w="0" w:type="dxa"/>
            <w:bottom w:w="0" w:type="dxa"/>
          </w:tblCellMar>
        </w:tblPrEx>
        <w:trPr>
          <w:trHeight w:hRule="exact" w:val="1051"/>
        </w:trPr>
        <w:tc>
          <w:tcPr>
            <w:tcW w:w="10206" w:type="dxa"/>
            <w:gridSpan w:val="8"/>
          </w:tcPr>
          <w:p w:rsidR="009D37F7" w:rsidRPr="009D37F7" w:rsidRDefault="009D37F7" w:rsidP="004753C0">
            <w:pPr>
              <w:jc w:val="center"/>
              <w:rPr>
                <w:sz w:val="22"/>
              </w:rPr>
            </w:pPr>
            <w:r>
              <w:rPr>
                <w:sz w:val="22"/>
              </w:rPr>
              <w:t>г.</w:t>
            </w:r>
            <w:r>
              <w:rPr>
                <w:sz w:val="22"/>
              </w:rPr>
              <w:t xml:space="preserve"> </w:t>
            </w:r>
            <w:r>
              <w:rPr>
                <w:sz w:val="22"/>
              </w:rPr>
              <w:t>Павлово</w:t>
            </w:r>
          </w:p>
          <w:p w:rsidR="009D37F7" w:rsidRPr="009D37F7" w:rsidRDefault="009D37F7" w:rsidP="004753C0">
            <w:pPr>
              <w:jc w:val="center"/>
              <w:rPr>
                <w:sz w:val="22"/>
              </w:rPr>
            </w:pPr>
          </w:p>
          <w:p w:rsidR="009D37F7" w:rsidRPr="007630E4" w:rsidRDefault="009D37F7" w:rsidP="004753C0">
            <w:pPr>
              <w:jc w:val="center"/>
              <w:rPr>
                <w:sz w:val="28"/>
                <w:szCs w:val="28"/>
              </w:rPr>
            </w:pPr>
            <w:r w:rsidRPr="007630E4">
              <w:rPr>
                <w:sz w:val="28"/>
                <w:szCs w:val="28"/>
              </w:rPr>
              <w:t>об утв</w:t>
            </w:r>
            <w:r>
              <w:rPr>
                <w:sz w:val="28"/>
                <w:szCs w:val="28"/>
              </w:rPr>
              <w:t xml:space="preserve">ерждении учетной политики </w:t>
            </w:r>
          </w:p>
        </w:tc>
      </w:tr>
    </w:tbl>
    <w:p w:rsidR="009D37F7" w:rsidRDefault="009D37F7" w:rsidP="009D37F7">
      <w:pPr>
        <w:jc w:val="both"/>
        <w:rPr>
          <w:sz w:val="28"/>
          <w:szCs w:val="28"/>
        </w:rPr>
      </w:pPr>
    </w:p>
    <w:p w:rsidR="009D37F7" w:rsidRPr="007630E4" w:rsidRDefault="009D37F7" w:rsidP="009D37F7">
      <w:pPr>
        <w:pStyle w:val="ConsPlusNormal"/>
        <w:jc w:val="both"/>
        <w:rPr>
          <w:rFonts w:ascii="Times New Roman" w:hAnsi="Times New Roman" w:cs="Times New Roman"/>
          <w:sz w:val="28"/>
          <w:szCs w:val="28"/>
        </w:rPr>
      </w:pPr>
      <w:r w:rsidRPr="00472438">
        <w:rPr>
          <w:rFonts w:ascii="Times New Roman" w:hAnsi="Times New Roman" w:cs="Times New Roman"/>
          <w:sz w:val="28"/>
          <w:szCs w:val="28"/>
        </w:rPr>
        <w:t xml:space="preserve">В соответствии Федеральным законом  </w:t>
      </w:r>
      <w:hyperlink r:id="rId6" w:history="1">
        <w:r w:rsidRPr="00472438">
          <w:rPr>
            <w:rFonts w:ascii="Times New Roman" w:hAnsi="Times New Roman" w:cs="Times New Roman"/>
            <w:sz w:val="28"/>
            <w:szCs w:val="28"/>
          </w:rPr>
          <w:t xml:space="preserve">Федеральный закон от 06.12.2011 N 402-ФЗ (ред. от 28.11.2018) "О бухгалтерском учете" </w:t>
        </w:r>
      </w:hyperlink>
      <w:r w:rsidRPr="00472438">
        <w:rPr>
          <w:rFonts w:ascii="Times New Roman" w:hAnsi="Times New Roman" w:cs="Times New Roman"/>
          <w:sz w:val="28"/>
          <w:szCs w:val="28"/>
        </w:rPr>
        <w:t xml:space="preserve">, </w:t>
      </w:r>
      <w:hyperlink r:id="rId7" w:history="1">
        <w:r w:rsidRPr="00472438">
          <w:rPr>
            <w:rFonts w:ascii="Times New Roman" w:hAnsi="Times New Roman" w:cs="Times New Roman"/>
            <w:sz w:val="28"/>
            <w:szCs w:val="28"/>
          </w:rPr>
          <w:t xml:space="preserve">Приказ Минфина России от 06.12.2010 N 162н (ред. от 31.03.2018) "Об утверждении Плана счетов бюджетного учета и Инструкции по его применению", </w:t>
        </w:r>
      </w:hyperlink>
      <w:hyperlink r:id="rId8" w:history="1">
        <w:r w:rsidRPr="00472438">
          <w:rPr>
            <w:rFonts w:ascii="Times New Roman" w:hAnsi="Times New Roman" w:cs="Times New Roman"/>
            <w:sz w:val="28"/>
            <w:szCs w:val="28"/>
          </w:rPr>
          <w:t xml:space="preserve">Приказ Минфина России от 01.12.2010 N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9" w:history="1">
          <w:r w:rsidRPr="00472438">
            <w:rPr>
              <w:rFonts w:ascii="Times New Roman" w:hAnsi="Times New Roman" w:cs="Times New Roman"/>
              <w:sz w:val="28"/>
              <w:szCs w:val="28"/>
            </w:rPr>
            <w:t xml:space="preserve">Приказ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hyperlink>
        <w:r w:rsidRPr="00472438">
          <w:rPr>
            <w:rFonts w:ascii="Times New Roman" w:hAnsi="Times New Roman" w:cs="Times New Roman"/>
            <w:sz w:val="28"/>
            <w:szCs w:val="28"/>
          </w:rPr>
          <w:t>,</w:t>
        </w:r>
      </w:hyperlink>
      <w:r w:rsidRPr="00472438">
        <w:rPr>
          <w:rFonts w:ascii="Times New Roman" w:hAnsi="Times New Roman" w:cs="Times New Roman"/>
          <w:sz w:val="28"/>
          <w:szCs w:val="28"/>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Федеральным стандартом бухгалтерского учета для организаций государственного сектора "Основные средства», утвержденный приказом Минфина России от 31.12.2016 № 257н; Федеральным стандартом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«Обесценивание активов»); Федеральным стандартом бухгалтерского учета для организаций государственного сектора «Аренда», утвержденный приказом Минфина России от 31.12.2016 № 258н</w:t>
      </w:r>
      <w:r>
        <w:rPr>
          <w:rFonts w:ascii="Times New Roman" w:hAnsi="Times New Roman" w:cs="Times New Roman"/>
          <w:sz w:val="28"/>
          <w:szCs w:val="28"/>
        </w:rPr>
        <w:t xml:space="preserve">           </w:t>
      </w:r>
      <w:r w:rsidRPr="009B245E">
        <w:rPr>
          <w:rFonts w:cs="Calibri"/>
          <w:bCs/>
          <w:sz w:val="24"/>
          <w:szCs w:val="24"/>
        </w:rPr>
        <w:t xml:space="preserve">    </w:t>
      </w:r>
      <w:r w:rsidRPr="009B245E">
        <w:rPr>
          <w:sz w:val="24"/>
          <w:szCs w:val="24"/>
        </w:rPr>
        <w:t xml:space="preserve"> </w:t>
      </w:r>
      <w:proofErr w:type="gramStart"/>
      <w:r w:rsidRPr="007630E4">
        <w:rPr>
          <w:rFonts w:ascii="Times New Roman" w:hAnsi="Times New Roman" w:cs="Times New Roman"/>
          <w:sz w:val="28"/>
          <w:szCs w:val="28"/>
        </w:rPr>
        <w:t>п</w:t>
      </w:r>
      <w:proofErr w:type="gramEnd"/>
      <w:r w:rsidRPr="007630E4">
        <w:rPr>
          <w:rFonts w:ascii="Times New Roman" w:hAnsi="Times New Roman" w:cs="Times New Roman"/>
          <w:sz w:val="28"/>
          <w:szCs w:val="28"/>
        </w:rPr>
        <w:t xml:space="preserve"> р и к а з ы в а ю:</w:t>
      </w:r>
    </w:p>
    <w:p w:rsidR="009D37F7" w:rsidRPr="00306C00" w:rsidRDefault="009D37F7" w:rsidP="009D37F7">
      <w:pPr>
        <w:pStyle w:val="ConsPlusNormal"/>
        <w:widowControl/>
        <w:numPr>
          <w:ilvl w:val="0"/>
          <w:numId w:val="1"/>
        </w:numPr>
        <w:tabs>
          <w:tab w:val="clear" w:pos="1744"/>
          <w:tab w:val="num" w:pos="684"/>
        </w:tabs>
        <w:ind w:left="0" w:firstLine="0"/>
        <w:jc w:val="both"/>
        <w:rPr>
          <w:rFonts w:ascii="Times New Roman" w:hAnsi="Times New Roman" w:cs="Times New Roman"/>
          <w:sz w:val="28"/>
          <w:szCs w:val="28"/>
        </w:rPr>
      </w:pPr>
      <w:r w:rsidRPr="007630E4">
        <w:rPr>
          <w:rFonts w:ascii="Times New Roman" w:hAnsi="Times New Roman" w:cs="Times New Roman"/>
          <w:sz w:val="28"/>
          <w:szCs w:val="28"/>
        </w:rPr>
        <w:t xml:space="preserve">Отменить положение об учетной политике, утвержденной приказом начальника Межрайонной ИФНС России № 7 по Нижегородской области от </w:t>
      </w:r>
      <w:r w:rsidRPr="00306C00">
        <w:rPr>
          <w:rFonts w:ascii="Times New Roman" w:hAnsi="Times New Roman" w:cs="Times New Roman"/>
          <w:sz w:val="28"/>
          <w:szCs w:val="28"/>
        </w:rPr>
        <w:t>24.03.2016 г. № 01-08/15.</w:t>
      </w:r>
    </w:p>
    <w:p w:rsidR="009D37F7" w:rsidRPr="007630E4" w:rsidRDefault="009D37F7" w:rsidP="009D37F7">
      <w:pPr>
        <w:pStyle w:val="ConsPlusNormal"/>
        <w:widowControl/>
        <w:numPr>
          <w:ilvl w:val="0"/>
          <w:numId w:val="1"/>
        </w:numPr>
        <w:tabs>
          <w:tab w:val="clear" w:pos="1744"/>
          <w:tab w:val="num" w:pos="684"/>
        </w:tabs>
        <w:ind w:hanging="1687"/>
        <w:jc w:val="both"/>
        <w:rPr>
          <w:rFonts w:ascii="Times New Roman" w:hAnsi="Times New Roman" w:cs="Times New Roman"/>
          <w:sz w:val="28"/>
          <w:szCs w:val="28"/>
        </w:rPr>
      </w:pPr>
      <w:r w:rsidRPr="007630E4">
        <w:rPr>
          <w:rFonts w:ascii="Times New Roman" w:hAnsi="Times New Roman" w:cs="Times New Roman"/>
          <w:sz w:val="28"/>
          <w:szCs w:val="28"/>
        </w:rPr>
        <w:t>Утвердить положение об учетной политике на 2019 год (Приложение № 1).</w:t>
      </w:r>
    </w:p>
    <w:p w:rsidR="009D37F7" w:rsidRPr="007630E4" w:rsidRDefault="009D37F7" w:rsidP="009D37F7">
      <w:pPr>
        <w:pStyle w:val="ConsPlusNormal"/>
        <w:widowControl/>
        <w:numPr>
          <w:ilvl w:val="0"/>
          <w:numId w:val="1"/>
        </w:numPr>
        <w:tabs>
          <w:tab w:val="clear" w:pos="1744"/>
          <w:tab w:val="num" w:pos="684"/>
        </w:tabs>
        <w:ind w:hanging="1687"/>
        <w:jc w:val="both"/>
        <w:rPr>
          <w:rFonts w:ascii="Times New Roman" w:hAnsi="Times New Roman" w:cs="Times New Roman"/>
          <w:sz w:val="28"/>
          <w:szCs w:val="28"/>
        </w:rPr>
      </w:pPr>
      <w:proofErr w:type="gramStart"/>
      <w:r w:rsidRPr="007630E4">
        <w:rPr>
          <w:rFonts w:ascii="Times New Roman" w:hAnsi="Times New Roman" w:cs="Times New Roman"/>
          <w:sz w:val="28"/>
          <w:szCs w:val="28"/>
        </w:rPr>
        <w:t>Контроль за</w:t>
      </w:r>
      <w:proofErr w:type="gramEnd"/>
      <w:r w:rsidRPr="007630E4">
        <w:rPr>
          <w:rFonts w:ascii="Times New Roman" w:hAnsi="Times New Roman" w:cs="Times New Roman"/>
          <w:sz w:val="28"/>
          <w:szCs w:val="28"/>
        </w:rPr>
        <w:t xml:space="preserve"> исполнением настоящего приказа оставляю за собой.</w:t>
      </w:r>
    </w:p>
    <w:p w:rsidR="009D37F7" w:rsidRPr="007630E4" w:rsidRDefault="009D37F7" w:rsidP="009D37F7">
      <w:pPr>
        <w:pStyle w:val="ConsPlusNormal"/>
        <w:widowControl/>
        <w:ind w:firstLine="709"/>
        <w:jc w:val="both"/>
        <w:rPr>
          <w:rFonts w:ascii="Times New Roman" w:hAnsi="Times New Roman" w:cs="Times New Roman"/>
          <w:sz w:val="28"/>
          <w:szCs w:val="28"/>
        </w:rPr>
      </w:pPr>
    </w:p>
    <w:p w:rsidR="009D37F7" w:rsidRPr="007630E4" w:rsidRDefault="009D37F7" w:rsidP="009D37F7">
      <w:pPr>
        <w:pStyle w:val="ConsPlusNormal"/>
        <w:widowControl/>
        <w:ind w:firstLine="0"/>
        <w:jc w:val="both"/>
        <w:rPr>
          <w:rFonts w:ascii="Times New Roman" w:hAnsi="Times New Roman" w:cs="Times New Roman"/>
          <w:sz w:val="28"/>
          <w:szCs w:val="28"/>
        </w:rPr>
      </w:pPr>
      <w:r w:rsidRPr="007630E4">
        <w:rPr>
          <w:rFonts w:ascii="Times New Roman" w:hAnsi="Times New Roman" w:cs="Times New Roman"/>
          <w:sz w:val="28"/>
          <w:szCs w:val="28"/>
        </w:rPr>
        <w:t>Начальник</w:t>
      </w:r>
    </w:p>
    <w:p w:rsidR="009D37F7" w:rsidRPr="007630E4" w:rsidRDefault="009D37F7" w:rsidP="009D37F7">
      <w:pPr>
        <w:pStyle w:val="ConsPlusNormal"/>
        <w:widowControl/>
        <w:ind w:firstLine="0"/>
        <w:jc w:val="both"/>
        <w:rPr>
          <w:rFonts w:ascii="Times New Roman" w:hAnsi="Times New Roman" w:cs="Times New Roman"/>
          <w:sz w:val="28"/>
          <w:szCs w:val="28"/>
        </w:rPr>
      </w:pPr>
      <w:r w:rsidRPr="007630E4">
        <w:rPr>
          <w:rFonts w:ascii="Times New Roman" w:hAnsi="Times New Roman" w:cs="Times New Roman"/>
          <w:sz w:val="28"/>
          <w:szCs w:val="28"/>
        </w:rPr>
        <w:t>Межрайонной ИФНС России № 7</w:t>
      </w:r>
    </w:p>
    <w:p w:rsidR="009D37F7" w:rsidRPr="007630E4" w:rsidRDefault="009D37F7" w:rsidP="009D37F7">
      <w:pPr>
        <w:pStyle w:val="ConsPlusNormal"/>
        <w:widowControl/>
        <w:ind w:firstLine="0"/>
        <w:jc w:val="both"/>
        <w:rPr>
          <w:rFonts w:ascii="Times New Roman" w:hAnsi="Times New Roman" w:cs="Times New Roman"/>
          <w:sz w:val="28"/>
          <w:szCs w:val="28"/>
        </w:rPr>
      </w:pPr>
      <w:r w:rsidRPr="007630E4">
        <w:rPr>
          <w:rFonts w:ascii="Times New Roman" w:hAnsi="Times New Roman" w:cs="Times New Roman"/>
          <w:sz w:val="28"/>
          <w:szCs w:val="28"/>
        </w:rPr>
        <w:t>по Нижегородской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630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30E4">
        <w:rPr>
          <w:rFonts w:ascii="Times New Roman" w:hAnsi="Times New Roman" w:cs="Times New Roman"/>
          <w:sz w:val="28"/>
          <w:szCs w:val="28"/>
        </w:rPr>
        <w:t xml:space="preserve">   В.А. Смирнов</w:t>
      </w:r>
    </w:p>
    <w:p w:rsidR="009D37F7" w:rsidRDefault="009D37F7">
      <w:pPr>
        <w:spacing w:after="200" w:line="276" w:lineRule="auto"/>
      </w:pPr>
      <w:r>
        <w:br w:type="page"/>
      </w:r>
    </w:p>
    <w:p w:rsidR="009D37F7" w:rsidRPr="009D37F7" w:rsidRDefault="009D37F7" w:rsidP="009D37F7">
      <w:pPr>
        <w:jc w:val="right"/>
        <w:rPr>
          <w:snapToGrid/>
          <w:sz w:val="28"/>
          <w:lang w:val="x-none" w:eastAsia="x-none"/>
        </w:rPr>
      </w:pPr>
      <w:r w:rsidRPr="009D37F7">
        <w:rPr>
          <w:snapToGrid/>
          <w:sz w:val="28"/>
          <w:lang w:val="x-none" w:eastAsia="x-none"/>
        </w:rPr>
        <w:lastRenderedPageBreak/>
        <w:t xml:space="preserve">Приложение </w:t>
      </w:r>
      <w:r w:rsidRPr="009D37F7">
        <w:rPr>
          <w:snapToGrid/>
          <w:sz w:val="28"/>
          <w:lang w:eastAsia="x-none"/>
        </w:rPr>
        <w:t xml:space="preserve">№ 1 </w:t>
      </w:r>
      <w:r w:rsidRPr="009D37F7">
        <w:rPr>
          <w:snapToGrid/>
          <w:sz w:val="28"/>
          <w:lang w:val="x-none" w:eastAsia="x-none"/>
        </w:rPr>
        <w:t>к приказу</w:t>
      </w:r>
    </w:p>
    <w:p w:rsidR="009D37F7" w:rsidRPr="009D37F7" w:rsidRDefault="009D37F7" w:rsidP="009D37F7">
      <w:pPr>
        <w:jc w:val="right"/>
        <w:rPr>
          <w:snapToGrid/>
          <w:sz w:val="28"/>
          <w:lang w:val="x-none" w:eastAsia="x-none"/>
        </w:rPr>
      </w:pPr>
      <w:r w:rsidRPr="009D37F7">
        <w:rPr>
          <w:snapToGrid/>
          <w:sz w:val="28"/>
          <w:lang w:val="x-none" w:eastAsia="x-none"/>
        </w:rPr>
        <w:t xml:space="preserve">№ </w:t>
      </w:r>
      <w:r w:rsidRPr="009D37F7">
        <w:rPr>
          <w:snapToGrid/>
          <w:sz w:val="28"/>
          <w:lang w:eastAsia="x-none"/>
        </w:rPr>
        <w:t>01-06/56 о</w:t>
      </w:r>
      <w:r w:rsidRPr="009D37F7">
        <w:rPr>
          <w:snapToGrid/>
          <w:sz w:val="28"/>
          <w:lang w:val="x-none" w:eastAsia="x-none"/>
        </w:rPr>
        <w:t>т</w:t>
      </w:r>
      <w:r w:rsidRPr="009D37F7">
        <w:rPr>
          <w:snapToGrid/>
          <w:sz w:val="28"/>
          <w:lang w:eastAsia="x-none"/>
        </w:rPr>
        <w:t xml:space="preserve"> 11 декабря </w:t>
      </w:r>
      <w:r w:rsidRPr="009D37F7">
        <w:rPr>
          <w:snapToGrid/>
          <w:sz w:val="28"/>
          <w:lang w:val="x-none" w:eastAsia="x-none"/>
        </w:rPr>
        <w:t>201</w:t>
      </w:r>
      <w:r w:rsidRPr="009D37F7">
        <w:rPr>
          <w:snapToGrid/>
          <w:sz w:val="28"/>
          <w:lang w:eastAsia="x-none"/>
        </w:rPr>
        <w:t>8</w:t>
      </w:r>
      <w:r w:rsidRPr="009D37F7">
        <w:rPr>
          <w:snapToGrid/>
          <w:sz w:val="28"/>
          <w:lang w:val="x-none" w:eastAsia="x-none"/>
        </w:rPr>
        <w:t xml:space="preserve">г. </w:t>
      </w:r>
    </w:p>
    <w:p w:rsidR="009D37F7" w:rsidRPr="009D37F7" w:rsidRDefault="009D37F7" w:rsidP="009D37F7">
      <w:pPr>
        <w:jc w:val="both"/>
        <w:rPr>
          <w:snapToGrid/>
          <w:sz w:val="16"/>
          <w:szCs w:val="16"/>
          <w:lang w:eastAsia="x-none"/>
        </w:rPr>
      </w:pPr>
    </w:p>
    <w:p w:rsidR="009D37F7" w:rsidRPr="009D37F7" w:rsidRDefault="009D37F7" w:rsidP="009D37F7">
      <w:pPr>
        <w:jc w:val="both"/>
        <w:rPr>
          <w:snapToGrid/>
          <w:sz w:val="16"/>
          <w:szCs w:val="16"/>
          <w:lang w:eastAsia="x-none"/>
        </w:rPr>
      </w:pPr>
    </w:p>
    <w:p w:rsidR="009D37F7" w:rsidRPr="009D37F7" w:rsidRDefault="009D37F7" w:rsidP="009D37F7">
      <w:pPr>
        <w:jc w:val="center"/>
        <w:rPr>
          <w:b/>
          <w:snapToGrid/>
          <w:sz w:val="32"/>
          <w:lang w:val="x-none" w:eastAsia="x-none"/>
        </w:rPr>
      </w:pPr>
      <w:r w:rsidRPr="009D37F7">
        <w:rPr>
          <w:b/>
          <w:snapToGrid/>
          <w:sz w:val="32"/>
          <w:lang w:val="x-none" w:eastAsia="x-none"/>
        </w:rPr>
        <w:t xml:space="preserve">Учетная политика </w:t>
      </w:r>
      <w:r w:rsidRPr="009D37F7">
        <w:rPr>
          <w:b/>
          <w:snapToGrid/>
          <w:sz w:val="32"/>
          <w:lang w:eastAsia="x-none"/>
        </w:rPr>
        <w:t xml:space="preserve">Межрайонной ИФНС России № 7 </w:t>
      </w:r>
      <w:r w:rsidRPr="009D37F7">
        <w:rPr>
          <w:b/>
          <w:snapToGrid/>
          <w:sz w:val="32"/>
          <w:lang w:val="x-none" w:eastAsia="x-none"/>
        </w:rPr>
        <w:t xml:space="preserve"> по Нижегородской области </w:t>
      </w:r>
    </w:p>
    <w:p w:rsidR="009D37F7" w:rsidRPr="009D37F7" w:rsidRDefault="009D37F7" w:rsidP="009D37F7">
      <w:pPr>
        <w:jc w:val="both"/>
        <w:rPr>
          <w:snapToGrid/>
          <w:sz w:val="16"/>
          <w:szCs w:val="16"/>
          <w:lang w:val="x-none" w:eastAsia="x-none"/>
        </w:rPr>
      </w:pPr>
    </w:p>
    <w:p w:rsidR="009D37F7" w:rsidRPr="009D37F7" w:rsidRDefault="009D37F7" w:rsidP="009D37F7">
      <w:pPr>
        <w:jc w:val="both"/>
        <w:rPr>
          <w:snapToGrid/>
          <w:sz w:val="16"/>
          <w:szCs w:val="16"/>
          <w:lang w:val="x-none" w:eastAsia="x-none"/>
        </w:rPr>
      </w:pPr>
    </w:p>
    <w:p w:rsidR="009D37F7" w:rsidRPr="009D37F7" w:rsidRDefault="009D37F7" w:rsidP="009D37F7">
      <w:pPr>
        <w:jc w:val="both"/>
        <w:rPr>
          <w:snapToGrid/>
          <w:sz w:val="16"/>
          <w:szCs w:val="16"/>
          <w:lang w:val="x-none" w:eastAsia="x-none"/>
        </w:rPr>
      </w:pPr>
    </w:p>
    <w:p w:rsidR="009D37F7" w:rsidRPr="009D37F7" w:rsidRDefault="009D37F7" w:rsidP="009D37F7">
      <w:pPr>
        <w:numPr>
          <w:ilvl w:val="0"/>
          <w:numId w:val="2"/>
        </w:numPr>
        <w:jc w:val="center"/>
        <w:rPr>
          <w:b/>
          <w:bCs/>
          <w:snapToGrid/>
          <w:sz w:val="28"/>
          <w:lang w:val="x-none" w:eastAsia="x-none"/>
        </w:rPr>
      </w:pPr>
      <w:r w:rsidRPr="009D37F7">
        <w:rPr>
          <w:b/>
          <w:bCs/>
          <w:snapToGrid/>
          <w:sz w:val="28"/>
          <w:lang w:val="x-none" w:eastAsia="x-none"/>
        </w:rPr>
        <w:t>Организация бухгалтерского учета</w:t>
      </w:r>
    </w:p>
    <w:p w:rsidR="009D37F7" w:rsidRPr="009D37F7" w:rsidRDefault="009D37F7" w:rsidP="009D37F7">
      <w:pPr>
        <w:ind w:left="720"/>
        <w:jc w:val="both"/>
        <w:rPr>
          <w:b/>
          <w:bCs/>
          <w:snapToGrid/>
          <w:sz w:val="28"/>
          <w:lang w:val="x-none" w:eastAsia="x-none"/>
        </w:rPr>
      </w:pP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 xml:space="preserve">1.1. </w:t>
      </w:r>
      <w:r w:rsidRPr="009D37F7">
        <w:rPr>
          <w:snapToGrid/>
          <w:sz w:val="28"/>
          <w:lang w:eastAsia="x-none"/>
        </w:rPr>
        <w:t>Межрайонная ИФНС</w:t>
      </w:r>
      <w:r w:rsidRPr="009D37F7">
        <w:rPr>
          <w:snapToGrid/>
          <w:sz w:val="28"/>
          <w:lang w:val="x-none" w:eastAsia="x-none"/>
        </w:rPr>
        <w:t xml:space="preserve"> Рос</w:t>
      </w:r>
      <w:bookmarkStart w:id="0" w:name="_GoBack"/>
      <w:bookmarkEnd w:id="0"/>
      <w:r w:rsidRPr="009D37F7">
        <w:rPr>
          <w:snapToGrid/>
          <w:sz w:val="28"/>
          <w:lang w:val="x-none" w:eastAsia="x-none"/>
        </w:rPr>
        <w:t xml:space="preserve">сии </w:t>
      </w:r>
      <w:r w:rsidRPr="009D37F7">
        <w:rPr>
          <w:snapToGrid/>
          <w:sz w:val="28"/>
          <w:lang w:eastAsia="x-none"/>
        </w:rPr>
        <w:t xml:space="preserve">№ 7  </w:t>
      </w:r>
      <w:r w:rsidRPr="009D37F7">
        <w:rPr>
          <w:snapToGrid/>
          <w:sz w:val="28"/>
          <w:lang w:val="x-none" w:eastAsia="x-none"/>
        </w:rPr>
        <w:t xml:space="preserve">по Нижегородской области  (далее - </w:t>
      </w:r>
      <w:r w:rsidRPr="009D37F7">
        <w:rPr>
          <w:snapToGrid/>
          <w:sz w:val="28"/>
          <w:lang w:eastAsia="x-none"/>
        </w:rPr>
        <w:t>Инспекция</w:t>
      </w:r>
      <w:r w:rsidRPr="009D37F7">
        <w:rPr>
          <w:snapToGrid/>
          <w:sz w:val="28"/>
          <w:lang w:val="x-none" w:eastAsia="x-none"/>
        </w:rPr>
        <w:t xml:space="preserve">) является получателем бюджетных средств. Бухгалтерский учет в </w:t>
      </w:r>
      <w:r w:rsidRPr="009D37F7">
        <w:rPr>
          <w:snapToGrid/>
          <w:sz w:val="28"/>
          <w:lang w:eastAsia="x-none"/>
        </w:rPr>
        <w:t>Инспекции</w:t>
      </w:r>
      <w:r w:rsidRPr="009D37F7">
        <w:rPr>
          <w:snapToGrid/>
          <w:sz w:val="28"/>
          <w:lang w:val="x-none" w:eastAsia="x-none"/>
        </w:rPr>
        <w:t xml:space="preserve"> ведется отделом</w:t>
      </w:r>
      <w:r w:rsidRPr="009D37F7">
        <w:rPr>
          <w:snapToGrid/>
          <w:sz w:val="28"/>
          <w:lang w:eastAsia="x-none"/>
        </w:rPr>
        <w:t xml:space="preserve"> общего обеспечения</w:t>
      </w:r>
      <w:r w:rsidRPr="009D37F7">
        <w:rPr>
          <w:snapToGrid/>
          <w:sz w:val="28"/>
          <w:lang w:val="x-none" w:eastAsia="x-none"/>
        </w:rPr>
        <w:t>. Начальник и сотрудники отдела</w:t>
      </w:r>
      <w:r w:rsidRPr="009D37F7">
        <w:rPr>
          <w:snapToGrid/>
          <w:sz w:val="28"/>
          <w:lang w:eastAsia="x-none"/>
        </w:rPr>
        <w:t xml:space="preserve"> общего обеспечения </w:t>
      </w:r>
      <w:r w:rsidRPr="009D37F7">
        <w:rPr>
          <w:snapToGrid/>
          <w:sz w:val="28"/>
          <w:lang w:val="x-none" w:eastAsia="x-none"/>
        </w:rPr>
        <w:t xml:space="preserve"> руководствуются в своей деятельности положением об отделе. Распределение обязанностей между сотрудниками отдела осуществляются в соответствии с должностными регламентами государственных гражданских служащих, утвержденных в установленном порядке.</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1.2. Бухгалтерский учет в Управлении осуществляется  в соответствии с:</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xml:space="preserve">– Бюджетным </w:t>
      </w:r>
      <w:hyperlink r:id="rId10" w:history="1">
        <w:r w:rsidRPr="009D37F7">
          <w:rPr>
            <w:snapToGrid/>
            <w:sz w:val="28"/>
            <w:szCs w:val="28"/>
          </w:rPr>
          <w:t>кодексом</w:t>
        </w:r>
      </w:hyperlink>
      <w:r w:rsidRPr="009D37F7">
        <w:rPr>
          <w:snapToGrid/>
          <w:sz w:val="28"/>
          <w:szCs w:val="28"/>
        </w:rPr>
        <w:t xml:space="preserve"> Российской Федерации;</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xml:space="preserve">– Налоговым </w:t>
      </w:r>
      <w:hyperlink r:id="rId11" w:history="1">
        <w:r w:rsidRPr="009D37F7">
          <w:rPr>
            <w:snapToGrid/>
            <w:sz w:val="28"/>
            <w:szCs w:val="28"/>
          </w:rPr>
          <w:t>кодексом</w:t>
        </w:r>
      </w:hyperlink>
      <w:r w:rsidRPr="009D37F7">
        <w:rPr>
          <w:snapToGrid/>
          <w:sz w:val="28"/>
          <w:szCs w:val="28"/>
        </w:rPr>
        <w:t xml:space="preserve"> Российской Федерации;</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Федеральным законом от 06.12.2011г. №402-ФЗ «О бухгалтерском учете» (далее – Приказ № 402-ФЗ);</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xml:space="preserve">– </w:t>
      </w:r>
      <w:hyperlink r:id="rId12" w:history="1">
        <w:r w:rsidRPr="009D37F7">
          <w:rPr>
            <w:snapToGrid/>
            <w:sz w:val="28"/>
            <w:szCs w:val="28"/>
          </w:rPr>
          <w:t>Приказом</w:t>
        </w:r>
      </w:hyperlink>
      <w:r w:rsidRPr="009D37F7">
        <w:rPr>
          <w:snapToGrid/>
          <w:sz w:val="28"/>
          <w:szCs w:val="28"/>
        </w:rPr>
        <w:t xml:space="preserve">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изменений и дополнений (далее - Инструкция N 157н);</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xml:space="preserve">– </w:t>
      </w:r>
      <w:hyperlink r:id="rId13" w:history="1">
        <w:r w:rsidRPr="009D37F7">
          <w:rPr>
            <w:snapToGrid/>
            <w:sz w:val="28"/>
            <w:szCs w:val="28"/>
          </w:rPr>
          <w:t>Приказом</w:t>
        </w:r>
      </w:hyperlink>
      <w:r w:rsidRPr="009D37F7">
        <w:rPr>
          <w:snapToGrid/>
          <w:sz w:val="28"/>
          <w:szCs w:val="28"/>
        </w:rPr>
        <w:t xml:space="preserve"> Министерства финансов Российской Федерации от 6 декабря 2010 г. N 162н "Об утверждении Плана счетов бюджетного учета и Инструкции по его применению" с учетом изменений и дополнений (далее - Инструкция N 162н);</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xml:space="preserve">– </w:t>
      </w:r>
      <w:hyperlink r:id="rId14" w:history="1">
        <w:r w:rsidRPr="009D37F7">
          <w:rPr>
            <w:snapToGrid/>
            <w:sz w:val="28"/>
            <w:szCs w:val="28"/>
          </w:rPr>
          <w:t>Приказом</w:t>
        </w:r>
      </w:hyperlink>
      <w:r w:rsidRPr="009D37F7">
        <w:rPr>
          <w:snapToGrid/>
          <w:sz w:val="28"/>
          <w:szCs w:val="28"/>
        </w:rPr>
        <w:t xml:space="preserve">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учетом изменений и дополнений;</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Приказом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9D37F7" w:rsidRPr="009D37F7" w:rsidRDefault="009D37F7" w:rsidP="009D37F7">
      <w:pPr>
        <w:ind w:firstLine="540"/>
        <w:jc w:val="both"/>
        <w:rPr>
          <w:snapToGrid/>
          <w:sz w:val="28"/>
          <w:lang w:val="x-none" w:eastAsia="x-none"/>
        </w:rPr>
      </w:pPr>
      <w:r w:rsidRPr="009D37F7">
        <w:rPr>
          <w:snapToGrid/>
          <w:sz w:val="28"/>
          <w:szCs w:val="28"/>
          <w:lang w:eastAsia="x-none"/>
        </w:rPr>
        <w:tab/>
      </w:r>
      <w:r w:rsidRPr="009D37F7">
        <w:rPr>
          <w:snapToGrid/>
          <w:sz w:val="28"/>
          <w:szCs w:val="28"/>
          <w:lang w:val="x-none" w:eastAsia="x-none"/>
        </w:rPr>
        <w:t>–</w:t>
      </w:r>
      <w:r w:rsidRPr="009D37F7">
        <w:rPr>
          <w:snapToGrid/>
          <w:sz w:val="28"/>
          <w:lang w:val="x-none" w:eastAsia="x-none"/>
        </w:rPr>
        <w:t xml:space="preserve"> Указанием о порядке применения бюджетной классификации Российской Федерации, утвержденных приказом Министерства Финансов РФ от 01.07.2013г. №65н;</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lastRenderedPageBreak/>
        <w:tab/>
        <w:t xml:space="preserve">– </w:t>
      </w:r>
      <w:hyperlink r:id="rId15" w:history="1">
        <w:r w:rsidRPr="009D37F7">
          <w:rPr>
            <w:snapToGrid/>
            <w:sz w:val="28"/>
            <w:szCs w:val="28"/>
          </w:rPr>
          <w:t>Приказом</w:t>
        </w:r>
      </w:hyperlink>
      <w:r w:rsidRPr="009D37F7">
        <w:rPr>
          <w:snapToGrid/>
          <w:sz w:val="28"/>
          <w:szCs w:val="28"/>
        </w:rPr>
        <w:t xml:space="preserve"> Министерства финансов Российской Федерации от 13 июня 1995 г. N 49 "Об утверждении методических указаний по инвентаризации имущества и финансовых обязательств" (далее - Приказ N 49);</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Указанием Центрального Банка Российской Федерации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xml:space="preserve">– </w:t>
      </w:r>
      <w:hyperlink r:id="rId16" w:history="1">
        <w:r w:rsidRPr="009D37F7">
          <w:rPr>
            <w:snapToGrid/>
            <w:sz w:val="28"/>
            <w:szCs w:val="28"/>
          </w:rPr>
          <w:t>Постановлением</w:t>
        </w:r>
      </w:hyperlink>
      <w:r w:rsidRPr="009D37F7">
        <w:rPr>
          <w:snapToGrid/>
          <w:sz w:val="28"/>
          <w:szCs w:val="28"/>
        </w:rPr>
        <w:t xml:space="preserve"> Правительства Российской Федерации от 14 октября 2010 г. N 834 "Об особенностях списания федерального имущества" (далее - Постановление№ 834);</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Постановлением Правительства Российской Федерации от 16 июля 2007 г. № 447 «О совершенствовании учета федерального имущества» (далее - Постановление № 447);</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Федеральными стандартами бухгалтерского учета для организаций государственного сектора;</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иными нормативными правовыми актами Российской Федерации, регулирующими вопросы бюджетного учета.</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1.3. Учетная политика реализуется через применение Инструкции № 157н.</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1.4. Порядок отражения операций по исполнению бюджета и кассовому обслуживанию исполнения бюджета осуществляется в соответствии Инструкцией  N 162н.</w:t>
      </w:r>
    </w:p>
    <w:p w:rsidR="009D37F7" w:rsidRPr="009D37F7" w:rsidRDefault="009D37F7" w:rsidP="009D37F7">
      <w:pPr>
        <w:ind w:firstLine="540"/>
        <w:jc w:val="both"/>
        <w:rPr>
          <w:snapToGrid/>
          <w:sz w:val="28"/>
          <w:lang w:eastAsia="x-none"/>
        </w:rPr>
      </w:pPr>
      <w:r w:rsidRPr="009D37F7">
        <w:rPr>
          <w:snapToGrid/>
          <w:sz w:val="28"/>
          <w:lang w:eastAsia="x-none"/>
        </w:rPr>
        <w:tab/>
      </w:r>
      <w:r w:rsidRPr="009D37F7">
        <w:rPr>
          <w:snapToGrid/>
          <w:sz w:val="28"/>
          <w:lang w:val="x-none" w:eastAsia="x-none"/>
        </w:rPr>
        <w:t>1.</w:t>
      </w:r>
      <w:r w:rsidRPr="009D37F7">
        <w:rPr>
          <w:snapToGrid/>
          <w:sz w:val="28"/>
          <w:lang w:eastAsia="x-none"/>
        </w:rPr>
        <w:t>5</w:t>
      </w:r>
      <w:r w:rsidRPr="009D37F7">
        <w:rPr>
          <w:snapToGrid/>
          <w:sz w:val="28"/>
          <w:lang w:val="x-none" w:eastAsia="x-none"/>
        </w:rPr>
        <w:t>. Бухгалтерский учет автоматизирован с использованием программных продуктов «ДКС: Бухгалтерский учет исполнения сметы расходов».</w:t>
      </w:r>
    </w:p>
    <w:p w:rsidR="009D37F7" w:rsidRPr="009D37F7" w:rsidRDefault="009D37F7" w:rsidP="009D37F7">
      <w:pPr>
        <w:ind w:firstLine="540"/>
        <w:contextualSpacing/>
        <w:jc w:val="both"/>
        <w:rPr>
          <w:rFonts w:eastAsia="Calibri"/>
          <w:snapToGrid/>
          <w:sz w:val="28"/>
          <w:szCs w:val="28"/>
          <w:lang w:eastAsia="en-US"/>
        </w:rPr>
      </w:pPr>
      <w:r w:rsidRPr="009D37F7">
        <w:rPr>
          <w:rFonts w:eastAsia="Calibri"/>
          <w:snapToGrid/>
          <w:sz w:val="28"/>
          <w:szCs w:val="28"/>
          <w:lang w:eastAsia="en-US"/>
        </w:rPr>
        <w:tab/>
        <w:t>1.6.</w:t>
      </w:r>
      <w:r w:rsidRPr="009D37F7">
        <w:rPr>
          <w:rFonts w:ascii="Calibri" w:eastAsia="Calibri" w:hAnsi="Calibri"/>
          <w:snapToGrid/>
          <w:sz w:val="22"/>
          <w:szCs w:val="22"/>
          <w:lang w:eastAsia="en-US"/>
        </w:rPr>
        <w:t xml:space="preserve"> </w:t>
      </w:r>
      <w:r w:rsidRPr="009D37F7">
        <w:rPr>
          <w:rFonts w:eastAsia="Calibri"/>
          <w:snapToGrid/>
          <w:sz w:val="28"/>
          <w:szCs w:val="28"/>
          <w:lang w:eastAsia="en-US"/>
        </w:rPr>
        <w:t>Установить следующий порядок отражения в учете событий после отчетной даты:</w:t>
      </w:r>
    </w:p>
    <w:p w:rsidR="009D37F7" w:rsidRPr="009D37F7" w:rsidRDefault="009D37F7" w:rsidP="009D37F7">
      <w:pPr>
        <w:ind w:firstLine="540"/>
        <w:contextualSpacing/>
        <w:jc w:val="both"/>
        <w:rPr>
          <w:rFonts w:eastAsia="Calibri"/>
          <w:snapToGrid/>
          <w:sz w:val="28"/>
          <w:szCs w:val="28"/>
          <w:lang w:eastAsia="en-US"/>
        </w:rPr>
      </w:pPr>
      <w:r w:rsidRPr="009D37F7">
        <w:rPr>
          <w:rFonts w:eastAsia="Calibri"/>
          <w:snapToGrid/>
          <w:sz w:val="28"/>
          <w:szCs w:val="28"/>
          <w:lang w:eastAsia="en-US"/>
        </w:rPr>
        <w:tab/>
        <w:t>– в течение календарного года первичные учетные документы, поступившие в финансовый отдел, принимаются к учету датой поступления (отметкой на документе о получении)</w:t>
      </w:r>
    </w:p>
    <w:p w:rsidR="009D37F7" w:rsidRPr="009D37F7" w:rsidRDefault="009D37F7" w:rsidP="009D37F7">
      <w:pPr>
        <w:ind w:firstLine="540"/>
        <w:jc w:val="both"/>
        <w:rPr>
          <w:snapToGrid/>
          <w:sz w:val="28"/>
          <w:szCs w:val="28"/>
          <w:lang w:val="x-none" w:eastAsia="x-none"/>
        </w:rPr>
      </w:pPr>
      <w:r w:rsidRPr="009D37F7">
        <w:rPr>
          <w:snapToGrid/>
          <w:sz w:val="28"/>
          <w:szCs w:val="28"/>
          <w:lang w:eastAsia="x-none"/>
        </w:rPr>
        <w:tab/>
      </w:r>
      <w:r w:rsidRPr="009D37F7">
        <w:rPr>
          <w:snapToGrid/>
          <w:sz w:val="28"/>
          <w:szCs w:val="28"/>
          <w:lang w:val="x-none" w:eastAsia="x-none"/>
        </w:rPr>
        <w:t xml:space="preserve">– первичные учетные документы, поступившие до составления годовой отчетности в новом году за предыдущий год, принимаются к учету последним рабочим днем предыдущего года. </w:t>
      </w:r>
    </w:p>
    <w:p w:rsidR="009D37F7" w:rsidRPr="009D37F7" w:rsidRDefault="009D37F7" w:rsidP="009D37F7">
      <w:pPr>
        <w:ind w:firstLine="540"/>
        <w:jc w:val="both"/>
        <w:rPr>
          <w:snapToGrid/>
          <w:sz w:val="28"/>
          <w:szCs w:val="28"/>
          <w:lang w:val="x-none" w:eastAsia="x-none"/>
        </w:rPr>
      </w:pPr>
      <w:r w:rsidRPr="009D37F7">
        <w:rPr>
          <w:snapToGrid/>
          <w:sz w:val="28"/>
          <w:szCs w:val="28"/>
          <w:lang w:eastAsia="x-none"/>
        </w:rPr>
        <w:tab/>
      </w:r>
      <w:r w:rsidRPr="009D37F7">
        <w:rPr>
          <w:snapToGrid/>
          <w:sz w:val="28"/>
          <w:szCs w:val="28"/>
          <w:lang w:val="x-none" w:eastAsia="x-none"/>
        </w:rPr>
        <w:t>1.</w:t>
      </w:r>
      <w:r w:rsidRPr="009D37F7">
        <w:rPr>
          <w:snapToGrid/>
          <w:sz w:val="28"/>
          <w:szCs w:val="28"/>
          <w:lang w:eastAsia="x-none"/>
        </w:rPr>
        <w:t>7</w:t>
      </w:r>
      <w:r w:rsidRPr="009D37F7">
        <w:rPr>
          <w:snapToGrid/>
          <w:sz w:val="28"/>
          <w:szCs w:val="28"/>
          <w:lang w:val="x-none" w:eastAsia="x-none"/>
        </w:rPr>
        <w:t>. Отражение фактов хозяйственной деятельности в бюджетном учете</w:t>
      </w:r>
      <w:r w:rsidRPr="009D37F7">
        <w:rPr>
          <w:snapToGrid/>
          <w:sz w:val="28"/>
          <w:szCs w:val="28"/>
          <w:lang w:eastAsia="x-none"/>
        </w:rPr>
        <w:t xml:space="preserve"> и отчетности</w:t>
      </w:r>
      <w:r w:rsidRPr="009D37F7">
        <w:rPr>
          <w:snapToGrid/>
          <w:sz w:val="28"/>
          <w:szCs w:val="28"/>
          <w:lang w:val="x-none" w:eastAsia="x-none"/>
        </w:rPr>
        <w:t xml:space="preserve"> за отчетный год осуществляется </w:t>
      </w:r>
      <w:r w:rsidRPr="009D37F7">
        <w:rPr>
          <w:snapToGrid/>
          <w:sz w:val="28"/>
          <w:szCs w:val="28"/>
          <w:lang w:eastAsia="x-none"/>
        </w:rPr>
        <w:t xml:space="preserve">в </w:t>
      </w:r>
      <w:r w:rsidRPr="009D37F7">
        <w:rPr>
          <w:snapToGrid/>
          <w:sz w:val="28"/>
          <w:szCs w:val="28"/>
          <w:lang w:val="x-none" w:eastAsia="x-none"/>
        </w:rPr>
        <w:t>следующ</w:t>
      </w:r>
      <w:r w:rsidRPr="009D37F7">
        <w:rPr>
          <w:snapToGrid/>
          <w:sz w:val="28"/>
          <w:szCs w:val="28"/>
          <w:lang w:eastAsia="x-none"/>
        </w:rPr>
        <w:t>ем порядке</w:t>
      </w:r>
      <w:r w:rsidRPr="009D37F7">
        <w:rPr>
          <w:snapToGrid/>
          <w:sz w:val="28"/>
          <w:szCs w:val="28"/>
          <w:lang w:val="x-none" w:eastAsia="x-none"/>
        </w:rPr>
        <w:t>:</w:t>
      </w:r>
    </w:p>
    <w:p w:rsidR="009D37F7" w:rsidRPr="009D37F7" w:rsidRDefault="009D37F7" w:rsidP="009D37F7">
      <w:pPr>
        <w:ind w:firstLine="540"/>
        <w:jc w:val="both"/>
        <w:rPr>
          <w:snapToGrid/>
          <w:sz w:val="28"/>
          <w:szCs w:val="28"/>
          <w:lang w:eastAsia="x-none"/>
        </w:rPr>
      </w:pPr>
      <w:r w:rsidRPr="009D37F7">
        <w:rPr>
          <w:snapToGrid/>
          <w:sz w:val="28"/>
          <w:szCs w:val="28"/>
          <w:lang w:eastAsia="x-none"/>
        </w:rPr>
        <w:tab/>
      </w:r>
      <w:r w:rsidRPr="009D37F7">
        <w:rPr>
          <w:snapToGrid/>
          <w:sz w:val="28"/>
          <w:szCs w:val="28"/>
          <w:lang w:val="x-none" w:eastAsia="x-none"/>
        </w:rPr>
        <w:t xml:space="preserve">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влияние на финансовое состояние, движение денег или результаты деятельности </w:t>
      </w:r>
      <w:r w:rsidRPr="009D37F7">
        <w:rPr>
          <w:snapToGrid/>
          <w:sz w:val="28"/>
          <w:szCs w:val="28"/>
          <w:lang w:eastAsia="x-none"/>
        </w:rPr>
        <w:t>Инспекции</w:t>
      </w:r>
      <w:r w:rsidRPr="009D37F7">
        <w:rPr>
          <w:snapToGrid/>
          <w:sz w:val="28"/>
          <w:szCs w:val="28"/>
          <w:lang w:val="x-none" w:eastAsia="x-none"/>
        </w:rPr>
        <w:t xml:space="preserve"> (далее – события после отчетной даты)</w:t>
      </w:r>
      <w:r w:rsidRPr="009D37F7">
        <w:rPr>
          <w:snapToGrid/>
          <w:sz w:val="28"/>
          <w:szCs w:val="28"/>
          <w:lang w:eastAsia="x-none"/>
        </w:rPr>
        <w:t>.</w:t>
      </w:r>
    </w:p>
    <w:p w:rsidR="009D37F7" w:rsidRPr="009D37F7" w:rsidRDefault="009D37F7" w:rsidP="009D37F7">
      <w:pPr>
        <w:ind w:firstLine="540"/>
        <w:jc w:val="both"/>
        <w:rPr>
          <w:snapToGrid/>
          <w:sz w:val="28"/>
          <w:szCs w:val="28"/>
          <w:lang w:eastAsia="x-none"/>
        </w:rPr>
      </w:pPr>
      <w:r w:rsidRPr="009D37F7">
        <w:rPr>
          <w:snapToGrid/>
          <w:sz w:val="28"/>
          <w:szCs w:val="28"/>
          <w:lang w:eastAsia="x-none"/>
        </w:rPr>
        <w:tab/>
      </w:r>
      <w:r w:rsidRPr="009D37F7">
        <w:rPr>
          <w:snapToGrid/>
          <w:sz w:val="28"/>
          <w:szCs w:val="28"/>
          <w:lang w:val="x-none" w:eastAsia="x-none"/>
        </w:rPr>
        <w:t>1.</w:t>
      </w:r>
      <w:r w:rsidRPr="009D37F7">
        <w:rPr>
          <w:snapToGrid/>
          <w:sz w:val="28"/>
          <w:szCs w:val="28"/>
          <w:lang w:eastAsia="x-none"/>
        </w:rPr>
        <w:t>8</w:t>
      </w:r>
      <w:r w:rsidRPr="009D37F7">
        <w:rPr>
          <w:snapToGrid/>
          <w:sz w:val="28"/>
          <w:szCs w:val="28"/>
          <w:lang w:val="x-none" w:eastAsia="x-none"/>
        </w:rPr>
        <w:t>. Первичные учетные документы принимаются к учету датой поступления в отдел</w:t>
      </w:r>
      <w:r w:rsidRPr="009D37F7">
        <w:rPr>
          <w:snapToGrid/>
          <w:sz w:val="28"/>
          <w:szCs w:val="28"/>
          <w:lang w:eastAsia="x-none"/>
        </w:rPr>
        <w:t xml:space="preserve"> общего обеспечения</w:t>
      </w:r>
      <w:r w:rsidRPr="009D37F7">
        <w:rPr>
          <w:snapToGrid/>
          <w:sz w:val="28"/>
          <w:szCs w:val="28"/>
          <w:lang w:val="x-none" w:eastAsia="x-none"/>
        </w:rPr>
        <w:t xml:space="preserve">. Дату и подпись ставит главный бухгалтер или заместитель главного бухгалтера. </w:t>
      </w:r>
    </w:p>
    <w:p w:rsidR="009D37F7" w:rsidRPr="009D37F7" w:rsidRDefault="009D37F7" w:rsidP="009D37F7">
      <w:pPr>
        <w:ind w:firstLine="540"/>
        <w:jc w:val="both"/>
        <w:rPr>
          <w:snapToGrid/>
          <w:sz w:val="28"/>
          <w:szCs w:val="28"/>
          <w:lang w:eastAsia="x-none"/>
        </w:rPr>
      </w:pPr>
    </w:p>
    <w:p w:rsidR="009D37F7" w:rsidRPr="009D37F7" w:rsidRDefault="009D37F7" w:rsidP="009D37F7">
      <w:pPr>
        <w:jc w:val="center"/>
        <w:rPr>
          <w:b/>
          <w:snapToGrid/>
          <w:sz w:val="28"/>
          <w:lang w:val="x-none" w:eastAsia="x-none"/>
        </w:rPr>
      </w:pPr>
      <w:r w:rsidRPr="009D37F7">
        <w:rPr>
          <w:b/>
          <w:snapToGrid/>
          <w:sz w:val="28"/>
          <w:lang w:eastAsia="x-none"/>
        </w:rPr>
        <w:t>2</w:t>
      </w:r>
      <w:r w:rsidRPr="009D37F7">
        <w:rPr>
          <w:b/>
          <w:snapToGrid/>
          <w:sz w:val="28"/>
          <w:lang w:val="x-none" w:eastAsia="x-none"/>
        </w:rPr>
        <w:t>. Порядок  учета и выдачи</w:t>
      </w:r>
      <w:r w:rsidRPr="009D37F7">
        <w:rPr>
          <w:b/>
          <w:snapToGrid/>
          <w:sz w:val="28"/>
          <w:lang w:eastAsia="x-none"/>
        </w:rPr>
        <w:t xml:space="preserve"> (перечисления)</w:t>
      </w:r>
      <w:r w:rsidRPr="009D37F7">
        <w:rPr>
          <w:b/>
          <w:snapToGrid/>
          <w:sz w:val="28"/>
          <w:lang w:val="x-none" w:eastAsia="x-none"/>
        </w:rPr>
        <w:t xml:space="preserve"> денежных средств  и </w:t>
      </w:r>
      <w:r w:rsidRPr="009D37F7">
        <w:rPr>
          <w:b/>
          <w:snapToGrid/>
          <w:sz w:val="28"/>
          <w:lang w:eastAsia="x-none"/>
        </w:rPr>
        <w:t xml:space="preserve"> выдачи </w:t>
      </w:r>
      <w:r w:rsidRPr="009D37F7">
        <w:rPr>
          <w:b/>
          <w:snapToGrid/>
          <w:sz w:val="28"/>
          <w:lang w:val="x-none" w:eastAsia="x-none"/>
        </w:rPr>
        <w:t>денежных документов</w:t>
      </w:r>
      <w:r w:rsidRPr="009D37F7">
        <w:rPr>
          <w:b/>
          <w:snapToGrid/>
          <w:sz w:val="28"/>
          <w:lang w:eastAsia="x-none"/>
        </w:rPr>
        <w:t xml:space="preserve"> </w:t>
      </w:r>
      <w:r w:rsidRPr="009D37F7">
        <w:rPr>
          <w:b/>
          <w:snapToGrid/>
          <w:sz w:val="28"/>
          <w:lang w:val="x-none" w:eastAsia="x-none"/>
        </w:rPr>
        <w:t>под отчет и оформления их расходования</w:t>
      </w:r>
    </w:p>
    <w:p w:rsidR="009D37F7" w:rsidRPr="009D37F7" w:rsidRDefault="009D37F7" w:rsidP="009D37F7">
      <w:pPr>
        <w:jc w:val="both"/>
        <w:rPr>
          <w:snapToGrid/>
          <w:sz w:val="16"/>
          <w:szCs w:val="16"/>
          <w:lang w:val="x-none" w:eastAsia="x-none"/>
        </w:rPr>
      </w:pPr>
    </w:p>
    <w:p w:rsidR="009D37F7" w:rsidRPr="009D37F7" w:rsidRDefault="009D37F7" w:rsidP="009D37F7">
      <w:pPr>
        <w:ind w:firstLine="709"/>
        <w:jc w:val="both"/>
        <w:rPr>
          <w:snapToGrid/>
          <w:sz w:val="28"/>
          <w:lang w:val="x-none" w:eastAsia="x-none"/>
        </w:rPr>
      </w:pPr>
      <w:r w:rsidRPr="009D37F7">
        <w:rPr>
          <w:snapToGrid/>
          <w:sz w:val="28"/>
          <w:lang w:eastAsia="x-none"/>
        </w:rPr>
        <w:t>2</w:t>
      </w:r>
      <w:r w:rsidRPr="009D37F7">
        <w:rPr>
          <w:snapToGrid/>
          <w:sz w:val="28"/>
          <w:lang w:val="x-none" w:eastAsia="x-none"/>
        </w:rPr>
        <w:t>.1. Учет денежных средств в кассе производить в соответствии с Указанием № 3210-У.</w:t>
      </w:r>
    </w:p>
    <w:p w:rsidR="009D37F7" w:rsidRDefault="009D37F7" w:rsidP="009D37F7">
      <w:pPr>
        <w:ind w:firstLine="709"/>
        <w:jc w:val="both"/>
        <w:rPr>
          <w:snapToGrid/>
          <w:sz w:val="28"/>
          <w:lang w:eastAsia="x-none"/>
        </w:rPr>
      </w:pPr>
      <w:r w:rsidRPr="009D37F7">
        <w:rPr>
          <w:snapToGrid/>
          <w:sz w:val="28"/>
          <w:lang w:eastAsia="x-none"/>
        </w:rPr>
        <w:lastRenderedPageBreak/>
        <w:t>2</w:t>
      </w:r>
      <w:r w:rsidRPr="009D37F7">
        <w:rPr>
          <w:snapToGrid/>
          <w:sz w:val="28"/>
          <w:lang w:val="x-none" w:eastAsia="x-none"/>
        </w:rPr>
        <w:t xml:space="preserve">.2. Лимит остатка наличных денег в кассе устанавливается отдельным приказом </w:t>
      </w:r>
      <w:r w:rsidRPr="009D37F7">
        <w:rPr>
          <w:snapToGrid/>
          <w:sz w:val="28"/>
          <w:lang w:eastAsia="x-none"/>
        </w:rPr>
        <w:t>начальника Инспекции</w:t>
      </w:r>
      <w:r w:rsidRPr="009D37F7">
        <w:rPr>
          <w:snapToGrid/>
          <w:sz w:val="28"/>
          <w:lang w:val="x-none" w:eastAsia="x-none"/>
        </w:rPr>
        <w:t xml:space="preserve">. </w:t>
      </w:r>
    </w:p>
    <w:p w:rsidR="009B27D7" w:rsidRPr="009D37F7" w:rsidRDefault="009B27D7" w:rsidP="009D37F7">
      <w:pPr>
        <w:ind w:firstLine="709"/>
        <w:jc w:val="both"/>
        <w:rPr>
          <w:snapToGrid/>
          <w:sz w:val="28"/>
          <w:lang w:eastAsia="x-none"/>
        </w:rPr>
      </w:pPr>
    </w:p>
    <w:p w:rsidR="009D37F7" w:rsidRPr="009D37F7" w:rsidRDefault="009D37F7" w:rsidP="009D37F7">
      <w:pPr>
        <w:ind w:left="360"/>
        <w:jc w:val="center"/>
        <w:rPr>
          <w:b/>
          <w:bCs/>
          <w:snapToGrid/>
          <w:sz w:val="28"/>
          <w:lang w:val="x-none" w:eastAsia="x-none"/>
        </w:rPr>
      </w:pPr>
      <w:r w:rsidRPr="009D37F7">
        <w:rPr>
          <w:b/>
          <w:bCs/>
          <w:snapToGrid/>
          <w:sz w:val="28"/>
          <w:lang w:eastAsia="x-none"/>
        </w:rPr>
        <w:t>3.</w:t>
      </w:r>
      <w:r w:rsidRPr="009D37F7">
        <w:rPr>
          <w:b/>
          <w:bCs/>
          <w:snapToGrid/>
          <w:sz w:val="28"/>
          <w:lang w:val="x-none" w:eastAsia="x-none"/>
        </w:rPr>
        <w:t>Бланки строгой отчетности и правила их учета</w:t>
      </w:r>
    </w:p>
    <w:p w:rsidR="009D37F7" w:rsidRPr="009D37F7" w:rsidRDefault="009D37F7" w:rsidP="009D37F7">
      <w:pPr>
        <w:ind w:left="720"/>
        <w:jc w:val="both"/>
        <w:rPr>
          <w:b/>
          <w:bCs/>
          <w:snapToGrid/>
          <w:sz w:val="16"/>
          <w:szCs w:val="16"/>
          <w:lang w:val="x-none" w:eastAsia="x-none"/>
        </w:rPr>
      </w:pPr>
    </w:p>
    <w:p w:rsidR="009D37F7" w:rsidRPr="009D37F7" w:rsidRDefault="009D37F7" w:rsidP="009D37F7">
      <w:pPr>
        <w:ind w:firstLine="540"/>
        <w:jc w:val="both"/>
        <w:rPr>
          <w:snapToGrid/>
          <w:sz w:val="28"/>
          <w:szCs w:val="28"/>
        </w:rPr>
      </w:pPr>
      <w:r w:rsidRPr="009D37F7">
        <w:rPr>
          <w:snapToGrid/>
          <w:sz w:val="28"/>
          <w:szCs w:val="24"/>
        </w:rPr>
        <w:tab/>
        <w:t xml:space="preserve">3.1. Бланки строгой отчетности принимаются на склад и учитываются в условной оценке 1 рубль за 1 бланк. В отделе общего обеспечения </w:t>
      </w:r>
      <w:r w:rsidRPr="009D37F7">
        <w:rPr>
          <w:snapToGrid/>
          <w:sz w:val="28"/>
          <w:szCs w:val="28"/>
        </w:rPr>
        <w:t>ведется аналитический учет по каждому виду бланков и местам их хранения, в разрезе материально-ответственных лиц в Книге учета бланков строгой отчетности.</w:t>
      </w:r>
    </w:p>
    <w:p w:rsidR="009D37F7" w:rsidRDefault="009D37F7" w:rsidP="009D37F7">
      <w:pPr>
        <w:ind w:firstLine="540"/>
        <w:jc w:val="both"/>
        <w:rPr>
          <w:snapToGrid/>
          <w:sz w:val="28"/>
          <w:szCs w:val="28"/>
        </w:rPr>
      </w:pPr>
      <w:r w:rsidRPr="009D37F7">
        <w:rPr>
          <w:snapToGrid/>
          <w:sz w:val="28"/>
          <w:szCs w:val="28"/>
        </w:rPr>
        <w:tab/>
        <w:t>Материально-ответственные лица списание израсходованных, а также испорченных бланков строгой отчетности производят по Акту о списании бланков строгой отчетности и представляют в отдел общего обеспечения датой утверждения акта.</w:t>
      </w:r>
    </w:p>
    <w:p w:rsidR="009B27D7" w:rsidRPr="009D37F7" w:rsidRDefault="009B27D7" w:rsidP="009D37F7">
      <w:pPr>
        <w:ind w:firstLine="540"/>
        <w:jc w:val="both"/>
        <w:rPr>
          <w:snapToGrid/>
          <w:sz w:val="28"/>
          <w:szCs w:val="28"/>
        </w:rPr>
      </w:pPr>
    </w:p>
    <w:p w:rsidR="009D37F7" w:rsidRPr="009D37F7" w:rsidRDefault="009D37F7" w:rsidP="009D37F7">
      <w:pPr>
        <w:numPr>
          <w:ilvl w:val="0"/>
          <w:numId w:val="3"/>
        </w:numPr>
        <w:jc w:val="center"/>
        <w:rPr>
          <w:b/>
          <w:bCs/>
          <w:snapToGrid/>
          <w:sz w:val="28"/>
          <w:lang w:eastAsia="x-none"/>
        </w:rPr>
      </w:pPr>
      <w:r w:rsidRPr="009D37F7">
        <w:rPr>
          <w:b/>
          <w:bCs/>
          <w:snapToGrid/>
          <w:sz w:val="28"/>
          <w:lang w:val="x-none" w:eastAsia="x-none"/>
        </w:rPr>
        <w:t>Учет нефинансовых активов</w:t>
      </w:r>
    </w:p>
    <w:p w:rsidR="009D37F7" w:rsidRPr="009D37F7" w:rsidRDefault="009D37F7" w:rsidP="009D37F7">
      <w:pPr>
        <w:ind w:left="720"/>
        <w:jc w:val="both"/>
        <w:rPr>
          <w:b/>
          <w:bCs/>
          <w:snapToGrid/>
          <w:sz w:val="16"/>
          <w:szCs w:val="16"/>
          <w:lang w:eastAsia="x-none"/>
        </w:rPr>
      </w:pPr>
    </w:p>
    <w:p w:rsidR="009D37F7" w:rsidRPr="009D37F7" w:rsidRDefault="009D37F7" w:rsidP="009D37F7">
      <w:pPr>
        <w:ind w:firstLine="540"/>
        <w:jc w:val="both"/>
        <w:rPr>
          <w:snapToGrid/>
          <w:sz w:val="28"/>
          <w:lang w:eastAsia="x-none"/>
        </w:rPr>
      </w:pPr>
      <w:r w:rsidRPr="009D37F7">
        <w:rPr>
          <w:snapToGrid/>
          <w:sz w:val="28"/>
          <w:lang w:eastAsia="x-none"/>
        </w:rPr>
        <w:tab/>
        <w:t>4</w:t>
      </w:r>
      <w:r w:rsidRPr="009D37F7">
        <w:rPr>
          <w:snapToGrid/>
          <w:sz w:val="28"/>
          <w:lang w:val="x-none" w:eastAsia="x-none"/>
        </w:rPr>
        <w:t>.1.</w:t>
      </w:r>
      <w:r w:rsidRPr="009D37F7">
        <w:rPr>
          <w:snapToGrid/>
          <w:sz w:val="28"/>
          <w:lang w:eastAsia="x-none"/>
        </w:rPr>
        <w:t xml:space="preserve"> В составе основных средств учитываются материальные объекты независимо от их стоимости со сроком полезного использования более 12 месяцев. А также канцелярские принадлежности, штампы, печати, предметы хозяйственного инвентаря многократного использования в процессе деятельности, для которых производитель (или поставщик) указал в документах гарантийный срок использования (или срок полезного использования) более 12 месяцев. </w:t>
      </w:r>
      <w:r w:rsidRPr="009D37F7">
        <w:rPr>
          <w:snapToGrid/>
          <w:sz w:val="28"/>
          <w:lang w:eastAsia="x-none"/>
        </w:rPr>
        <w:tab/>
      </w:r>
    </w:p>
    <w:p w:rsidR="009D37F7" w:rsidRPr="009D37F7" w:rsidRDefault="009D37F7" w:rsidP="009D37F7">
      <w:pPr>
        <w:shd w:val="clear" w:color="auto" w:fill="FFFFFF"/>
        <w:ind w:firstLine="540"/>
        <w:jc w:val="both"/>
        <w:rPr>
          <w:snapToGrid/>
          <w:sz w:val="28"/>
          <w:lang w:eastAsia="x-none"/>
        </w:rPr>
      </w:pPr>
      <w:r w:rsidRPr="009D37F7">
        <w:rPr>
          <w:snapToGrid/>
          <w:sz w:val="28"/>
          <w:lang w:eastAsia="x-none"/>
        </w:rPr>
        <w:t>4</w:t>
      </w:r>
      <w:r w:rsidRPr="009D37F7">
        <w:rPr>
          <w:snapToGrid/>
          <w:sz w:val="28"/>
          <w:lang w:val="x-none" w:eastAsia="x-none"/>
        </w:rPr>
        <w:t>.</w:t>
      </w:r>
      <w:r w:rsidRPr="009D37F7">
        <w:rPr>
          <w:snapToGrid/>
          <w:sz w:val="28"/>
          <w:lang w:eastAsia="x-none"/>
        </w:rPr>
        <w:t>2</w:t>
      </w:r>
      <w:r w:rsidRPr="009D37F7">
        <w:rPr>
          <w:snapToGrid/>
          <w:sz w:val="28"/>
          <w:lang w:val="x-none" w:eastAsia="x-none"/>
        </w:rPr>
        <w:t xml:space="preserve">. </w:t>
      </w:r>
      <w:r w:rsidRPr="009D37F7">
        <w:rPr>
          <w:snapToGrid/>
          <w:sz w:val="28"/>
          <w:lang w:eastAsia="x-none"/>
        </w:rPr>
        <w:t>Амортизация</w:t>
      </w:r>
      <w:r w:rsidRPr="009D37F7">
        <w:rPr>
          <w:snapToGrid/>
          <w:sz w:val="28"/>
          <w:lang w:val="x-none" w:eastAsia="x-none"/>
        </w:rPr>
        <w:t xml:space="preserve"> </w:t>
      </w:r>
      <w:r w:rsidRPr="009D37F7">
        <w:rPr>
          <w:snapToGrid/>
          <w:sz w:val="28"/>
          <w:lang w:eastAsia="x-none"/>
        </w:rPr>
        <w:t xml:space="preserve">объектов </w:t>
      </w:r>
      <w:r w:rsidRPr="009D37F7">
        <w:rPr>
          <w:snapToGrid/>
          <w:sz w:val="28"/>
          <w:lang w:val="x-none" w:eastAsia="x-none"/>
        </w:rPr>
        <w:t>основных средств</w:t>
      </w:r>
      <w:r w:rsidRPr="009D37F7">
        <w:rPr>
          <w:snapToGrid/>
          <w:sz w:val="28"/>
          <w:lang w:eastAsia="x-none"/>
        </w:rPr>
        <w:t xml:space="preserve"> начисляется:</w:t>
      </w:r>
      <w:r w:rsidRPr="009D37F7">
        <w:rPr>
          <w:snapToGrid/>
          <w:sz w:val="28"/>
          <w:lang w:val="x-none" w:eastAsia="x-none"/>
        </w:rPr>
        <w:t xml:space="preserve"> </w:t>
      </w:r>
    </w:p>
    <w:p w:rsidR="009D37F7" w:rsidRPr="009D37F7" w:rsidRDefault="009D37F7" w:rsidP="009D37F7">
      <w:pPr>
        <w:shd w:val="clear" w:color="auto" w:fill="FFFFFF"/>
        <w:ind w:firstLine="540"/>
        <w:jc w:val="both"/>
        <w:rPr>
          <w:snapToGrid/>
          <w:sz w:val="28"/>
          <w:lang w:eastAsia="x-none"/>
        </w:rPr>
      </w:pPr>
      <w:r w:rsidRPr="009D37F7">
        <w:rPr>
          <w:snapToGrid/>
          <w:sz w:val="28"/>
          <w:lang w:eastAsia="x-none"/>
        </w:rPr>
        <w:t xml:space="preserve"> </w:t>
      </w:r>
      <w:r w:rsidRPr="009D37F7">
        <w:rPr>
          <w:snapToGrid/>
          <w:sz w:val="28"/>
          <w:lang w:eastAsia="x-none"/>
        </w:rPr>
        <w:tab/>
        <w:t xml:space="preserve">– на объекты основных средств, стоимостью свыше 100000 рублей - </w:t>
      </w:r>
      <w:r w:rsidRPr="009D37F7">
        <w:rPr>
          <w:snapToGrid/>
          <w:sz w:val="28"/>
          <w:lang w:val="x-none" w:eastAsia="x-none"/>
        </w:rPr>
        <w:t>линейным способом</w:t>
      </w:r>
      <w:r w:rsidRPr="009D37F7">
        <w:rPr>
          <w:snapToGrid/>
          <w:sz w:val="28"/>
          <w:lang w:eastAsia="x-none"/>
        </w:rPr>
        <w:t>,</w:t>
      </w:r>
      <w:r w:rsidRPr="009D37F7">
        <w:rPr>
          <w:snapToGrid/>
          <w:sz w:val="28"/>
          <w:lang w:val="x-none" w:eastAsia="x-none"/>
        </w:rPr>
        <w:t xml:space="preserve"> исходя из балансовой стоимости</w:t>
      </w:r>
      <w:r w:rsidRPr="009D37F7">
        <w:rPr>
          <w:snapToGrid/>
          <w:sz w:val="28"/>
          <w:lang w:eastAsia="x-none"/>
        </w:rPr>
        <w:t xml:space="preserve"> и нормы амортизации, исчисленной исходя из срока его полезного использования;</w:t>
      </w:r>
    </w:p>
    <w:p w:rsidR="009D37F7" w:rsidRPr="009D37F7" w:rsidRDefault="009D37F7" w:rsidP="009D37F7">
      <w:pPr>
        <w:shd w:val="clear" w:color="auto" w:fill="FFFFFF"/>
        <w:ind w:firstLine="540"/>
        <w:jc w:val="both"/>
        <w:rPr>
          <w:snapToGrid/>
          <w:sz w:val="28"/>
          <w:lang w:eastAsia="x-none"/>
        </w:rPr>
      </w:pPr>
      <w:r w:rsidRPr="009D37F7">
        <w:rPr>
          <w:snapToGrid/>
          <w:sz w:val="28"/>
          <w:lang w:eastAsia="x-none"/>
        </w:rPr>
        <w:tab/>
        <w:t xml:space="preserve">– на объекты основных средств, стоимостью до 10000 рублей включительно – не начисляется. Первоначальная стоимость введенного в эксплуатацию основного средства - движимого имущества списывается с баланса с одновременным отражением на </w:t>
      </w:r>
      <w:proofErr w:type="spellStart"/>
      <w:r w:rsidRPr="009D37F7">
        <w:rPr>
          <w:snapToGrid/>
          <w:sz w:val="28"/>
          <w:lang w:eastAsia="x-none"/>
        </w:rPr>
        <w:t>забалансовом</w:t>
      </w:r>
      <w:proofErr w:type="spellEnd"/>
      <w:r w:rsidRPr="009D37F7">
        <w:rPr>
          <w:snapToGrid/>
          <w:sz w:val="28"/>
          <w:lang w:eastAsia="x-none"/>
        </w:rPr>
        <w:t xml:space="preserve"> счете 21 </w:t>
      </w:r>
      <w:r w:rsidRPr="009D37F7">
        <w:rPr>
          <w:snapToGrid/>
          <w:sz w:val="28"/>
          <w:lang w:val="x-none" w:eastAsia="x-none"/>
        </w:rPr>
        <w:t>«Основные средства в эксплуатации»</w:t>
      </w:r>
      <w:r w:rsidRPr="009D37F7">
        <w:rPr>
          <w:snapToGrid/>
          <w:sz w:val="28"/>
          <w:lang w:eastAsia="x-none"/>
        </w:rPr>
        <w:t>;</w:t>
      </w:r>
    </w:p>
    <w:p w:rsidR="009D37F7" w:rsidRPr="009D37F7" w:rsidRDefault="009D37F7" w:rsidP="009D37F7">
      <w:pPr>
        <w:shd w:val="clear" w:color="auto" w:fill="FFFFFF"/>
        <w:ind w:firstLine="540"/>
        <w:jc w:val="both"/>
        <w:rPr>
          <w:snapToGrid/>
          <w:sz w:val="28"/>
          <w:lang w:eastAsia="x-none"/>
        </w:rPr>
      </w:pPr>
      <w:r w:rsidRPr="009D37F7">
        <w:rPr>
          <w:snapToGrid/>
          <w:sz w:val="28"/>
          <w:lang w:eastAsia="x-none"/>
        </w:rPr>
        <w:tab/>
        <w:t>– на объекты основных средств, стоимостью от 10000 до 100000 рублей включительно в размере 100% первоначальной стоимости при выдаче в эксплуатацию.</w:t>
      </w:r>
    </w:p>
    <w:p w:rsidR="009D37F7" w:rsidRPr="009D37F7" w:rsidRDefault="009D37F7" w:rsidP="009D37F7">
      <w:pPr>
        <w:shd w:val="clear" w:color="auto" w:fill="FFFFFF"/>
        <w:ind w:firstLine="540"/>
        <w:jc w:val="both"/>
        <w:rPr>
          <w:snapToGrid/>
          <w:sz w:val="28"/>
          <w:szCs w:val="28"/>
        </w:rPr>
      </w:pPr>
      <w:r w:rsidRPr="009D37F7">
        <w:rPr>
          <w:snapToGrid/>
          <w:sz w:val="28"/>
          <w:lang w:eastAsia="x-none"/>
        </w:rPr>
        <w:tab/>
        <w:t>4.3.</w:t>
      </w:r>
      <w:r w:rsidRPr="009D37F7">
        <w:rPr>
          <w:snapToGrid/>
          <w:sz w:val="24"/>
          <w:szCs w:val="24"/>
        </w:rPr>
        <w:t xml:space="preserve">  </w:t>
      </w:r>
      <w:r w:rsidRPr="009D37F7">
        <w:rPr>
          <w:snapToGrid/>
          <w:sz w:val="28"/>
          <w:szCs w:val="28"/>
        </w:rPr>
        <w:t xml:space="preserve">При переоценке объекта основных средств накопленная амортизация на дату </w:t>
      </w:r>
    </w:p>
    <w:p w:rsidR="009D37F7" w:rsidRPr="009D37F7" w:rsidRDefault="009D37F7" w:rsidP="009D37F7">
      <w:pPr>
        <w:shd w:val="clear" w:color="auto" w:fill="FFFFFF"/>
        <w:jc w:val="both"/>
        <w:rPr>
          <w:snapToGrid/>
          <w:sz w:val="28"/>
          <w:szCs w:val="28"/>
        </w:rPr>
      </w:pPr>
      <w:r w:rsidRPr="009D37F7">
        <w:rPr>
          <w:snapToGrid/>
          <w:sz w:val="28"/>
          <w:szCs w:val="28"/>
        </w:rPr>
        <w:t xml:space="preserve">переоценки пересчитывается пропорционально изменению первоначальной стоимости </w:t>
      </w:r>
    </w:p>
    <w:p w:rsidR="009D37F7" w:rsidRPr="009D37F7" w:rsidRDefault="009D37F7" w:rsidP="009D37F7">
      <w:pPr>
        <w:shd w:val="clear" w:color="auto" w:fill="FFFFFF"/>
        <w:jc w:val="both"/>
        <w:rPr>
          <w:snapToGrid/>
          <w:sz w:val="28"/>
          <w:szCs w:val="28"/>
        </w:rPr>
      </w:pPr>
      <w:r w:rsidRPr="009D37F7">
        <w:rPr>
          <w:snapToGrid/>
          <w:sz w:val="28"/>
          <w:szCs w:val="28"/>
        </w:rPr>
        <w:t xml:space="preserve">объекта таким образом, чтобы его остаточная стоимость после переоценки равнялась </w:t>
      </w:r>
    </w:p>
    <w:p w:rsidR="009D37F7" w:rsidRPr="009D37F7" w:rsidRDefault="009D37F7" w:rsidP="009D37F7">
      <w:pPr>
        <w:shd w:val="clear" w:color="auto" w:fill="FFFFFF"/>
        <w:jc w:val="both"/>
        <w:rPr>
          <w:snapToGrid/>
          <w:sz w:val="28"/>
          <w:szCs w:val="28"/>
        </w:rPr>
      </w:pPr>
      <w:r w:rsidRPr="009D37F7">
        <w:rPr>
          <w:snapToGrid/>
          <w:sz w:val="28"/>
          <w:szCs w:val="28"/>
        </w:rPr>
        <w:t>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9D37F7" w:rsidRPr="009D37F7" w:rsidRDefault="009D37F7" w:rsidP="009D37F7">
      <w:pPr>
        <w:ind w:firstLine="540"/>
        <w:jc w:val="both"/>
        <w:rPr>
          <w:snapToGrid/>
          <w:sz w:val="28"/>
          <w:lang w:val="x-none" w:eastAsia="x-none"/>
        </w:rPr>
      </w:pPr>
      <w:r w:rsidRPr="009D37F7">
        <w:rPr>
          <w:snapToGrid/>
          <w:sz w:val="28"/>
          <w:szCs w:val="28"/>
        </w:rPr>
        <w:t>4.4.</w:t>
      </w:r>
      <w:r w:rsidRPr="009D37F7">
        <w:rPr>
          <w:snapToGrid/>
          <w:sz w:val="28"/>
          <w:lang w:val="x-none" w:eastAsia="x-none"/>
        </w:rPr>
        <w:t xml:space="preserve"> Основные средства стоимостью до 10 000 руб. включительно, введенные в эксплуатацию, учитываются по балансовой стоимости на </w:t>
      </w:r>
      <w:proofErr w:type="spellStart"/>
      <w:r w:rsidRPr="009D37F7">
        <w:rPr>
          <w:snapToGrid/>
          <w:sz w:val="28"/>
          <w:lang w:val="x-none" w:eastAsia="x-none"/>
        </w:rPr>
        <w:t>забалансовом</w:t>
      </w:r>
      <w:proofErr w:type="spellEnd"/>
      <w:r w:rsidRPr="009D37F7">
        <w:rPr>
          <w:snapToGrid/>
          <w:sz w:val="28"/>
          <w:lang w:val="x-none" w:eastAsia="x-none"/>
        </w:rPr>
        <w:t xml:space="preserve"> счете 21 «Основные средства в эксплуатации».</w:t>
      </w:r>
    </w:p>
    <w:p w:rsidR="009D37F7" w:rsidRPr="009D37F7" w:rsidRDefault="009D37F7" w:rsidP="009D37F7">
      <w:pPr>
        <w:ind w:firstLine="540"/>
        <w:jc w:val="both"/>
        <w:rPr>
          <w:snapToGrid/>
          <w:sz w:val="28"/>
          <w:lang w:eastAsia="x-none"/>
        </w:rPr>
      </w:pPr>
      <w:r w:rsidRPr="009D37F7">
        <w:rPr>
          <w:snapToGrid/>
          <w:sz w:val="28"/>
          <w:lang w:val="x-none" w:eastAsia="x-none"/>
        </w:rPr>
        <w:tab/>
        <w:t xml:space="preserve">При принятии к учету основному средству до 10000 рублей присваивается порядковый учетный номер. Учет указанных объектов осуществляется на </w:t>
      </w:r>
      <w:proofErr w:type="spellStart"/>
      <w:r w:rsidRPr="009D37F7">
        <w:rPr>
          <w:snapToGrid/>
          <w:sz w:val="28"/>
          <w:lang w:val="x-none" w:eastAsia="x-none"/>
        </w:rPr>
        <w:lastRenderedPageBreak/>
        <w:t>забалансовом</w:t>
      </w:r>
      <w:proofErr w:type="spellEnd"/>
      <w:r w:rsidRPr="009D37F7">
        <w:rPr>
          <w:snapToGrid/>
          <w:sz w:val="28"/>
          <w:lang w:val="x-none" w:eastAsia="x-none"/>
        </w:rPr>
        <w:t xml:space="preserve"> счете  по фактической стоимости каждой единицы. Списание и выбытие осуществляется на основании: Акта о списании; Акта  о приеме-передаче. Аналитический учет </w:t>
      </w:r>
      <w:r w:rsidRPr="009D37F7">
        <w:rPr>
          <w:snapToGrid/>
          <w:sz w:val="28"/>
          <w:szCs w:val="28"/>
          <w:lang w:val="x-none" w:eastAsia="x-none"/>
        </w:rPr>
        <w:t>ведется в Карточке количественно-суммового учета материальных ценностей</w:t>
      </w:r>
      <w:r w:rsidRPr="009D37F7">
        <w:rPr>
          <w:snapToGrid/>
          <w:sz w:val="28"/>
          <w:szCs w:val="28"/>
          <w:lang w:eastAsia="x-none"/>
        </w:rPr>
        <w:t>.</w:t>
      </w:r>
    </w:p>
    <w:p w:rsidR="009D37F7" w:rsidRPr="009D37F7" w:rsidRDefault="009D37F7" w:rsidP="009D37F7">
      <w:pPr>
        <w:ind w:firstLine="540"/>
        <w:jc w:val="both"/>
        <w:rPr>
          <w:snapToGrid/>
          <w:sz w:val="28"/>
          <w:lang w:eastAsia="x-none"/>
        </w:rPr>
      </w:pPr>
      <w:r w:rsidRPr="009D37F7">
        <w:rPr>
          <w:snapToGrid/>
          <w:sz w:val="28"/>
          <w:lang w:eastAsia="x-none"/>
        </w:rPr>
        <w:t>4.5</w:t>
      </w:r>
      <w:r w:rsidRPr="009D37F7">
        <w:rPr>
          <w:snapToGrid/>
          <w:sz w:val="28"/>
          <w:lang w:val="x-none" w:eastAsia="x-none"/>
        </w:rPr>
        <w:t xml:space="preserve">. </w:t>
      </w:r>
      <w:r w:rsidRPr="009D37F7">
        <w:rPr>
          <w:snapToGrid/>
          <w:sz w:val="28"/>
          <w:lang w:eastAsia="x-none"/>
        </w:rPr>
        <w:t xml:space="preserve">В составе материальных запасов учитываются материальные объекты используемые в течение </w:t>
      </w:r>
      <w:proofErr w:type="gramStart"/>
      <w:r w:rsidRPr="009D37F7">
        <w:rPr>
          <w:snapToGrid/>
          <w:sz w:val="28"/>
          <w:lang w:eastAsia="x-none"/>
        </w:rPr>
        <w:t>периода</w:t>
      </w:r>
      <w:proofErr w:type="gramEnd"/>
      <w:r w:rsidRPr="009D37F7">
        <w:rPr>
          <w:snapToGrid/>
          <w:sz w:val="28"/>
          <w:lang w:eastAsia="x-none"/>
        </w:rPr>
        <w:t xml:space="preserve"> не превышающего 12 месяцев не зависимо от стоимости.</w:t>
      </w:r>
    </w:p>
    <w:p w:rsidR="009D37F7" w:rsidRPr="009D37F7" w:rsidRDefault="009D37F7" w:rsidP="009D37F7">
      <w:pPr>
        <w:ind w:firstLine="540"/>
        <w:jc w:val="both"/>
        <w:rPr>
          <w:snapToGrid/>
          <w:sz w:val="28"/>
          <w:lang w:eastAsia="x-none"/>
        </w:rPr>
      </w:pPr>
      <w:r w:rsidRPr="009D37F7">
        <w:rPr>
          <w:snapToGrid/>
          <w:sz w:val="28"/>
          <w:lang w:eastAsia="x-none"/>
        </w:rPr>
        <w:tab/>
        <w:t>4.6.</w:t>
      </w:r>
      <w:r w:rsidRPr="009D37F7">
        <w:rPr>
          <w:snapToGrid/>
          <w:sz w:val="28"/>
          <w:lang w:val="x-none" w:eastAsia="x-none"/>
        </w:rPr>
        <w:t>Списание материальных запасов производится по фактической стоимости.</w:t>
      </w:r>
    </w:p>
    <w:p w:rsidR="009D37F7" w:rsidRPr="009D37F7" w:rsidRDefault="009D37F7" w:rsidP="009D37F7">
      <w:pPr>
        <w:ind w:firstLine="540"/>
        <w:jc w:val="both"/>
        <w:rPr>
          <w:snapToGrid/>
          <w:sz w:val="28"/>
          <w:szCs w:val="28"/>
          <w:lang w:eastAsia="x-none"/>
        </w:rPr>
      </w:pPr>
      <w:r w:rsidRPr="009D37F7">
        <w:rPr>
          <w:snapToGrid/>
          <w:sz w:val="28"/>
          <w:szCs w:val="28"/>
          <w:lang w:eastAsia="x-none"/>
        </w:rPr>
        <w:t>4.7</w:t>
      </w:r>
      <w:r w:rsidRPr="009D37F7">
        <w:rPr>
          <w:snapToGrid/>
          <w:sz w:val="28"/>
          <w:szCs w:val="28"/>
          <w:lang w:val="x-none" w:eastAsia="x-none"/>
        </w:rPr>
        <w:t>. Аналитический учет по счету 09 "Запасные части к транспортным средствам, выданные взамен изношенных"</w:t>
      </w:r>
      <w:r w:rsidRPr="009D37F7">
        <w:rPr>
          <w:snapToGrid/>
          <w:sz w:val="28"/>
          <w:lang w:val="x-none" w:eastAsia="x-none"/>
        </w:rPr>
        <w:t xml:space="preserve"> </w:t>
      </w:r>
      <w:r w:rsidRPr="009D37F7">
        <w:rPr>
          <w:snapToGrid/>
          <w:sz w:val="28"/>
          <w:szCs w:val="28"/>
          <w:lang w:val="x-none" w:eastAsia="x-none"/>
        </w:rPr>
        <w:t>ведется</w:t>
      </w:r>
      <w:r w:rsidRPr="009D37F7">
        <w:rPr>
          <w:snapToGrid/>
          <w:sz w:val="28"/>
          <w:szCs w:val="28"/>
          <w:lang w:eastAsia="x-none"/>
        </w:rPr>
        <w:t xml:space="preserve"> по стоимости приобретения</w:t>
      </w:r>
      <w:r w:rsidRPr="009D37F7">
        <w:rPr>
          <w:snapToGrid/>
          <w:sz w:val="28"/>
          <w:szCs w:val="28"/>
          <w:lang w:val="x-none" w:eastAsia="x-none"/>
        </w:rPr>
        <w:t xml:space="preserve">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аккумуляторные батареи, шины, диски, камеры. </w:t>
      </w:r>
    </w:p>
    <w:p w:rsidR="009D37F7" w:rsidRDefault="009D37F7" w:rsidP="009D37F7">
      <w:pPr>
        <w:jc w:val="both"/>
        <w:rPr>
          <w:snapToGrid/>
          <w:sz w:val="28"/>
          <w:szCs w:val="28"/>
          <w:lang w:eastAsia="x-none"/>
        </w:rPr>
      </w:pPr>
      <w:r w:rsidRPr="009D37F7">
        <w:rPr>
          <w:snapToGrid/>
          <w:sz w:val="28"/>
          <w:lang w:eastAsia="x-none"/>
        </w:rPr>
        <w:t>4.8</w:t>
      </w:r>
      <w:r w:rsidRPr="009D37F7">
        <w:rPr>
          <w:snapToGrid/>
          <w:sz w:val="28"/>
          <w:lang w:val="x-none" w:eastAsia="x-none"/>
        </w:rPr>
        <w:t xml:space="preserve">. </w:t>
      </w:r>
      <w:r w:rsidRPr="009D37F7">
        <w:rPr>
          <w:snapToGrid/>
          <w:sz w:val="28"/>
          <w:szCs w:val="28"/>
          <w:lang w:val="x-none" w:eastAsia="x-none"/>
        </w:rPr>
        <w:t>Аналитический учет по материальным запасам ведется на Карточке количественно-суммового учета, которые распечатываются ежегодно.</w:t>
      </w:r>
    </w:p>
    <w:p w:rsidR="009D37F7" w:rsidRPr="009D37F7" w:rsidRDefault="009D37F7" w:rsidP="009D37F7">
      <w:pPr>
        <w:jc w:val="both"/>
        <w:rPr>
          <w:snapToGrid/>
          <w:sz w:val="28"/>
          <w:szCs w:val="28"/>
          <w:lang w:eastAsia="x-none"/>
        </w:rPr>
      </w:pPr>
    </w:p>
    <w:p w:rsidR="009D37F7" w:rsidRPr="009D37F7" w:rsidRDefault="009D37F7" w:rsidP="009D37F7">
      <w:pPr>
        <w:ind w:left="360"/>
        <w:jc w:val="center"/>
        <w:rPr>
          <w:b/>
          <w:bCs/>
          <w:snapToGrid/>
          <w:sz w:val="28"/>
          <w:lang w:eastAsia="x-none"/>
        </w:rPr>
      </w:pPr>
      <w:r w:rsidRPr="009D37F7">
        <w:rPr>
          <w:b/>
          <w:bCs/>
          <w:snapToGrid/>
          <w:sz w:val="28"/>
          <w:lang w:eastAsia="x-none"/>
        </w:rPr>
        <w:t>5.</w:t>
      </w:r>
      <w:r w:rsidRPr="009D37F7">
        <w:rPr>
          <w:b/>
          <w:bCs/>
          <w:snapToGrid/>
          <w:sz w:val="28"/>
          <w:lang w:val="x-none" w:eastAsia="x-none"/>
        </w:rPr>
        <w:t>Учет непроизведенных активов</w:t>
      </w:r>
    </w:p>
    <w:p w:rsidR="009D37F7" w:rsidRPr="009D37F7" w:rsidRDefault="009D37F7" w:rsidP="009D37F7">
      <w:pPr>
        <w:ind w:firstLine="540"/>
        <w:jc w:val="both"/>
        <w:rPr>
          <w:b/>
          <w:bCs/>
          <w:snapToGrid/>
          <w:sz w:val="16"/>
          <w:szCs w:val="16"/>
          <w:lang w:eastAsia="x-none"/>
        </w:rPr>
      </w:pPr>
    </w:p>
    <w:p w:rsidR="009D37F7" w:rsidRDefault="009D37F7" w:rsidP="009D37F7">
      <w:pPr>
        <w:ind w:firstLine="540"/>
        <w:jc w:val="both"/>
        <w:rPr>
          <w:snapToGrid/>
          <w:sz w:val="28"/>
          <w:lang w:eastAsia="x-none"/>
        </w:rPr>
      </w:pPr>
      <w:r w:rsidRPr="009D37F7">
        <w:rPr>
          <w:snapToGrid/>
          <w:sz w:val="28"/>
          <w:lang w:eastAsia="x-none"/>
        </w:rPr>
        <w:tab/>
        <w:t>5</w:t>
      </w:r>
      <w:r w:rsidRPr="009D37F7">
        <w:rPr>
          <w:snapToGrid/>
          <w:sz w:val="28"/>
          <w:lang w:val="x-none" w:eastAsia="x-none"/>
        </w:rPr>
        <w:t xml:space="preserve">.1. Земельные участки, закрепленные на праве постоянного (бессрочного) пользования  (в том числе  расположенные под объектами недвижимости) учитываются на счете 1 103 11 000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  </w:t>
      </w:r>
    </w:p>
    <w:p w:rsidR="009D37F7" w:rsidRPr="009D37F7" w:rsidRDefault="009D37F7" w:rsidP="009D37F7">
      <w:pPr>
        <w:ind w:firstLine="540"/>
        <w:jc w:val="both"/>
        <w:rPr>
          <w:b/>
          <w:bCs/>
          <w:snapToGrid/>
          <w:sz w:val="28"/>
          <w:lang w:eastAsia="x-none"/>
        </w:rPr>
      </w:pPr>
    </w:p>
    <w:p w:rsidR="009D37F7" w:rsidRPr="009D37F7" w:rsidRDefault="009D37F7" w:rsidP="009D37F7">
      <w:pPr>
        <w:jc w:val="center"/>
        <w:rPr>
          <w:b/>
          <w:bCs/>
          <w:snapToGrid/>
          <w:sz w:val="28"/>
          <w:lang w:val="x-none" w:eastAsia="x-none"/>
        </w:rPr>
      </w:pPr>
      <w:r w:rsidRPr="009D37F7">
        <w:rPr>
          <w:b/>
          <w:bCs/>
          <w:snapToGrid/>
          <w:sz w:val="28"/>
          <w:lang w:eastAsia="x-none"/>
        </w:rPr>
        <w:t>6</w:t>
      </w:r>
      <w:r w:rsidRPr="009D37F7">
        <w:rPr>
          <w:b/>
          <w:bCs/>
          <w:snapToGrid/>
          <w:sz w:val="28"/>
          <w:lang w:val="x-none" w:eastAsia="x-none"/>
        </w:rPr>
        <w:t>. Порядок проведения инвентаризации</w:t>
      </w:r>
    </w:p>
    <w:p w:rsidR="009D37F7" w:rsidRPr="009D37F7" w:rsidRDefault="009D37F7" w:rsidP="009D37F7">
      <w:pPr>
        <w:jc w:val="both"/>
        <w:rPr>
          <w:b/>
          <w:bCs/>
          <w:snapToGrid/>
          <w:sz w:val="28"/>
          <w:lang w:val="x-none" w:eastAsia="x-none"/>
        </w:rPr>
      </w:pPr>
    </w:p>
    <w:p w:rsidR="009D37F7" w:rsidRPr="009D37F7" w:rsidRDefault="009D37F7" w:rsidP="009D37F7">
      <w:pPr>
        <w:ind w:firstLine="540"/>
        <w:jc w:val="both"/>
        <w:rPr>
          <w:b/>
          <w:bCs/>
          <w:snapToGrid/>
          <w:sz w:val="28"/>
          <w:lang w:val="x-none" w:eastAsia="x-none"/>
        </w:rPr>
      </w:pPr>
      <w:r w:rsidRPr="009D37F7">
        <w:rPr>
          <w:snapToGrid/>
          <w:sz w:val="28"/>
          <w:lang w:eastAsia="x-none"/>
        </w:rPr>
        <w:tab/>
        <w:t>6</w:t>
      </w:r>
      <w:r w:rsidRPr="009D37F7">
        <w:rPr>
          <w:snapToGrid/>
          <w:sz w:val="28"/>
          <w:lang w:val="x-none" w:eastAsia="x-none"/>
        </w:rPr>
        <w:t xml:space="preserve">.1. Состав инвентаризационной комиссии утверждается приказом </w:t>
      </w:r>
      <w:r w:rsidRPr="009D37F7">
        <w:rPr>
          <w:snapToGrid/>
          <w:sz w:val="28"/>
          <w:lang w:eastAsia="x-none"/>
        </w:rPr>
        <w:t>начальника Инспекции</w:t>
      </w:r>
      <w:r w:rsidRPr="009D37F7">
        <w:rPr>
          <w:snapToGrid/>
          <w:sz w:val="28"/>
          <w:lang w:val="x-none" w:eastAsia="x-none"/>
        </w:rPr>
        <w:t>.</w:t>
      </w:r>
    </w:p>
    <w:p w:rsidR="009D37F7" w:rsidRPr="009D37F7" w:rsidRDefault="009D37F7" w:rsidP="009D37F7">
      <w:pPr>
        <w:ind w:firstLine="540"/>
        <w:jc w:val="both"/>
        <w:rPr>
          <w:bCs/>
          <w:snapToGrid/>
          <w:sz w:val="28"/>
          <w:lang w:val="x-none" w:eastAsia="x-none"/>
        </w:rPr>
      </w:pPr>
      <w:r w:rsidRPr="009D37F7">
        <w:rPr>
          <w:bCs/>
          <w:snapToGrid/>
          <w:sz w:val="28"/>
          <w:lang w:eastAsia="x-none"/>
        </w:rPr>
        <w:tab/>
      </w:r>
      <w:r w:rsidRPr="009D37F7">
        <w:rPr>
          <w:bCs/>
          <w:snapToGrid/>
          <w:sz w:val="28"/>
          <w:lang w:val="x-none" w:eastAsia="x-none"/>
        </w:rPr>
        <w:t xml:space="preserve">6.2. </w:t>
      </w:r>
      <w:r w:rsidRPr="009D37F7">
        <w:rPr>
          <w:snapToGrid/>
          <w:sz w:val="28"/>
          <w:lang w:val="x-none" w:eastAsia="x-none"/>
        </w:rPr>
        <w:t>Проведение инвентаризации обязательно в следующих случаях:</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 xml:space="preserve">– при смене материально-ответственных лиц (на день приемки-передачи дел); </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w:t>
      </w:r>
      <w:r w:rsidRPr="009D37F7">
        <w:rPr>
          <w:snapToGrid/>
          <w:sz w:val="28"/>
          <w:lang w:eastAsia="x-none"/>
        </w:rPr>
        <w:t xml:space="preserve"> </w:t>
      </w:r>
      <w:r w:rsidRPr="009D37F7">
        <w:rPr>
          <w:snapToGrid/>
          <w:sz w:val="28"/>
          <w:lang w:val="x-none" w:eastAsia="x-none"/>
        </w:rPr>
        <w:t>при передаче имущества организации в аренду</w:t>
      </w:r>
      <w:r w:rsidRPr="009D37F7">
        <w:rPr>
          <w:snapToGrid/>
          <w:sz w:val="28"/>
          <w:lang w:eastAsia="x-none"/>
        </w:rPr>
        <w:t>, безвозмездное пользование</w:t>
      </w:r>
      <w:r w:rsidRPr="009D37F7">
        <w:rPr>
          <w:snapToGrid/>
          <w:sz w:val="28"/>
          <w:lang w:val="x-none" w:eastAsia="x-none"/>
        </w:rPr>
        <w:t>;</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 при реорганизации;</w:t>
      </w:r>
    </w:p>
    <w:p w:rsidR="009D37F7" w:rsidRPr="009D37F7" w:rsidRDefault="009D37F7" w:rsidP="009D37F7">
      <w:pPr>
        <w:ind w:firstLine="540"/>
        <w:jc w:val="both"/>
        <w:rPr>
          <w:snapToGrid/>
          <w:sz w:val="28"/>
          <w:lang w:val="x-none" w:eastAsia="x-none"/>
        </w:rPr>
      </w:pPr>
      <w:r w:rsidRPr="009D37F7">
        <w:rPr>
          <w:snapToGrid/>
          <w:sz w:val="28"/>
          <w:lang w:eastAsia="x-none"/>
        </w:rPr>
        <w:tab/>
        <w:t xml:space="preserve">– </w:t>
      </w:r>
      <w:r w:rsidRPr="009D37F7">
        <w:rPr>
          <w:snapToGrid/>
          <w:sz w:val="28"/>
          <w:lang w:val="x-none" w:eastAsia="x-none"/>
        </w:rPr>
        <w:t>перед составлением годовой бухгалтерской отчетности после 1 октября отчетного года;</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в случае стихийных бедствий, пожара, аварий или других чрезвычайных ситуаций, вызванных экстремальными условиями;</w:t>
      </w: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ab/>
        <w:t>– при установлении фактов хищений или злоупотреблений, а также порчи ценностей;</w:t>
      </w:r>
    </w:p>
    <w:p w:rsidR="009D37F7" w:rsidRDefault="009D37F7" w:rsidP="009D37F7">
      <w:pPr>
        <w:ind w:firstLine="540"/>
        <w:jc w:val="both"/>
        <w:rPr>
          <w:snapToGrid/>
          <w:sz w:val="28"/>
          <w:lang w:eastAsia="x-none"/>
        </w:rPr>
      </w:pPr>
      <w:r w:rsidRPr="009D37F7">
        <w:rPr>
          <w:snapToGrid/>
          <w:sz w:val="28"/>
          <w:lang w:eastAsia="x-none"/>
        </w:rPr>
        <w:tab/>
      </w:r>
      <w:r w:rsidRPr="009D37F7">
        <w:rPr>
          <w:snapToGrid/>
          <w:sz w:val="28"/>
          <w:lang w:val="x-none" w:eastAsia="x-none"/>
        </w:rPr>
        <w:t>– в других случаях, предусмотренных законодательством РФ.</w:t>
      </w:r>
    </w:p>
    <w:p w:rsidR="009D37F7" w:rsidRPr="009D37F7" w:rsidRDefault="009D37F7" w:rsidP="009D37F7">
      <w:pPr>
        <w:ind w:firstLine="540"/>
        <w:jc w:val="both"/>
        <w:rPr>
          <w:snapToGrid/>
          <w:sz w:val="28"/>
          <w:lang w:eastAsia="x-none"/>
        </w:rPr>
      </w:pPr>
    </w:p>
    <w:p w:rsidR="009D37F7" w:rsidRPr="009D37F7" w:rsidRDefault="009D37F7" w:rsidP="009D37F7">
      <w:pPr>
        <w:ind w:firstLine="540"/>
        <w:jc w:val="center"/>
        <w:rPr>
          <w:b/>
          <w:snapToGrid/>
          <w:sz w:val="28"/>
          <w:lang w:val="x-none" w:eastAsia="x-none"/>
        </w:rPr>
      </w:pPr>
      <w:r w:rsidRPr="009D37F7">
        <w:rPr>
          <w:b/>
          <w:snapToGrid/>
          <w:sz w:val="28"/>
          <w:lang w:eastAsia="x-none"/>
        </w:rPr>
        <w:t>7</w:t>
      </w:r>
      <w:r w:rsidRPr="009D37F7">
        <w:rPr>
          <w:b/>
          <w:snapToGrid/>
          <w:sz w:val="28"/>
          <w:lang w:val="x-none" w:eastAsia="x-none"/>
        </w:rPr>
        <w:t>. Санкционирование расходов</w:t>
      </w:r>
    </w:p>
    <w:p w:rsidR="009D37F7" w:rsidRPr="009D37F7" w:rsidRDefault="009D37F7" w:rsidP="009D37F7">
      <w:pPr>
        <w:ind w:firstLine="540"/>
        <w:jc w:val="both"/>
        <w:rPr>
          <w:b/>
          <w:snapToGrid/>
          <w:sz w:val="16"/>
          <w:szCs w:val="16"/>
          <w:lang w:val="x-none" w:eastAsia="x-none"/>
        </w:rPr>
      </w:pPr>
    </w:p>
    <w:p w:rsidR="009D37F7" w:rsidRPr="009D37F7" w:rsidRDefault="009D37F7" w:rsidP="009D37F7">
      <w:pPr>
        <w:ind w:firstLine="540"/>
        <w:jc w:val="both"/>
        <w:rPr>
          <w:snapToGrid/>
          <w:sz w:val="28"/>
          <w:lang w:val="x-none" w:eastAsia="x-none"/>
        </w:rPr>
      </w:pPr>
      <w:r w:rsidRPr="009D37F7">
        <w:rPr>
          <w:snapToGrid/>
          <w:sz w:val="28"/>
          <w:lang w:eastAsia="x-none"/>
        </w:rPr>
        <w:tab/>
        <w:t>7</w:t>
      </w:r>
      <w:r w:rsidRPr="009D37F7">
        <w:rPr>
          <w:snapToGrid/>
          <w:sz w:val="28"/>
          <w:lang w:val="x-none" w:eastAsia="x-none"/>
        </w:rPr>
        <w:t>.1. Бюджетные обязательства (принятые, принимаемые, отложенные) принимаются  к учету в пределах доведенных лимитов бюджетных обязательств (далее – ЛБО).</w:t>
      </w:r>
    </w:p>
    <w:p w:rsidR="009D37F7" w:rsidRPr="009D37F7" w:rsidRDefault="009D37F7" w:rsidP="009D37F7">
      <w:pPr>
        <w:ind w:firstLine="540"/>
        <w:jc w:val="both"/>
        <w:rPr>
          <w:snapToGrid/>
          <w:sz w:val="28"/>
          <w:lang w:val="x-none" w:eastAsia="x-none"/>
        </w:rPr>
      </w:pPr>
      <w:r w:rsidRPr="009D37F7">
        <w:rPr>
          <w:snapToGrid/>
          <w:sz w:val="28"/>
          <w:lang w:eastAsia="x-none"/>
        </w:rPr>
        <w:lastRenderedPageBreak/>
        <w:tab/>
      </w:r>
      <w:r w:rsidRPr="009D37F7">
        <w:rPr>
          <w:snapToGrid/>
          <w:sz w:val="28"/>
          <w:lang w:val="x-none" w:eastAsia="x-none"/>
        </w:rPr>
        <w:t xml:space="preserve">К применяемым бюджетным обязательствам текущего финансового года относятся обязательства, принимаемые при проведении закупок конкурентным (конкурс, аукцион, запросы котировок и предложений) способами в порядке, установленном Законом от 05.04.2013 № 44-ФЗ. </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Бюджетные обязательства принимаются:</w:t>
      </w:r>
    </w:p>
    <w:p w:rsidR="009D37F7" w:rsidRPr="009D37F7" w:rsidRDefault="009D37F7" w:rsidP="009D37F7">
      <w:pPr>
        <w:ind w:firstLine="540"/>
        <w:jc w:val="both"/>
        <w:rPr>
          <w:snapToGrid/>
          <w:sz w:val="28"/>
          <w:lang w:val="x-none" w:eastAsia="x-none"/>
        </w:rPr>
      </w:pPr>
      <w:r w:rsidRPr="009D37F7">
        <w:rPr>
          <w:snapToGrid/>
          <w:sz w:val="28"/>
          <w:lang w:eastAsia="x-none"/>
        </w:rPr>
        <w:tab/>
        <w:t>–</w:t>
      </w:r>
      <w:r w:rsidRPr="009D37F7">
        <w:rPr>
          <w:snapToGrid/>
          <w:sz w:val="28"/>
          <w:lang w:val="x-none" w:eastAsia="x-none"/>
        </w:rPr>
        <w:t xml:space="preserve"> в течение 3 рабочих дней </w:t>
      </w:r>
      <w:proofErr w:type="gramStart"/>
      <w:r w:rsidRPr="009D37F7">
        <w:rPr>
          <w:snapToGrid/>
          <w:sz w:val="28"/>
          <w:lang w:val="x-none" w:eastAsia="x-none"/>
        </w:rPr>
        <w:t>с даты заключения</w:t>
      </w:r>
      <w:proofErr w:type="gramEnd"/>
      <w:r w:rsidRPr="009D37F7">
        <w:rPr>
          <w:snapToGrid/>
          <w:sz w:val="28"/>
          <w:lang w:val="x-none" w:eastAsia="x-none"/>
        </w:rPr>
        <w:t xml:space="preserve"> </w:t>
      </w:r>
      <w:proofErr w:type="spellStart"/>
      <w:r w:rsidRPr="009D37F7">
        <w:rPr>
          <w:snapToGrid/>
          <w:sz w:val="28"/>
          <w:lang w:val="x-none" w:eastAsia="x-none"/>
        </w:rPr>
        <w:t>госк</w:t>
      </w:r>
      <w:r w:rsidRPr="009D37F7">
        <w:rPr>
          <w:snapToGrid/>
          <w:sz w:val="28"/>
          <w:lang w:eastAsia="x-none"/>
        </w:rPr>
        <w:t>о</w:t>
      </w:r>
      <w:r w:rsidRPr="009D37F7">
        <w:rPr>
          <w:snapToGrid/>
          <w:sz w:val="28"/>
          <w:lang w:val="x-none" w:eastAsia="x-none"/>
        </w:rPr>
        <w:t>нтракта</w:t>
      </w:r>
      <w:proofErr w:type="spellEnd"/>
      <w:r w:rsidRPr="009D37F7">
        <w:rPr>
          <w:snapToGrid/>
          <w:sz w:val="28"/>
          <w:lang w:val="x-none" w:eastAsia="x-none"/>
        </w:rPr>
        <w:t xml:space="preserve"> (договора) на приобретение нефинансовых активов, выполнение работ (оказание услуг);</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  первым рабочим днем текущего финансового года в объеме утвержденных ЛБО по оплате труда;</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 не позднее последнего дня месяца, за который производятся начисления на выплаты по оплате труда, компенсации сотрудникам (работникам), находящимся в отпуске по уходу за ребенком до достижения им возраста 3 лет;</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 xml:space="preserve">– </w:t>
      </w:r>
      <w:r w:rsidRPr="009D37F7">
        <w:rPr>
          <w:snapToGrid/>
          <w:sz w:val="28"/>
          <w:szCs w:val="28"/>
          <w:lang w:val="x-none" w:eastAsia="x-none"/>
        </w:rPr>
        <w:t>ежеквартально, не позднее последнего дня текущего квартала</w:t>
      </w:r>
      <w:r w:rsidRPr="009D37F7">
        <w:rPr>
          <w:snapToGrid/>
          <w:sz w:val="28"/>
          <w:lang w:val="x-none" w:eastAsia="x-none"/>
        </w:rPr>
        <w:t xml:space="preserve"> по н</w:t>
      </w:r>
      <w:r w:rsidRPr="009D37F7">
        <w:rPr>
          <w:snapToGrid/>
          <w:sz w:val="28"/>
          <w:szCs w:val="28"/>
          <w:lang w:val="x-none" w:eastAsia="x-none"/>
        </w:rPr>
        <w:t>ачислению налогов (имущество,</w:t>
      </w:r>
      <w:r w:rsidRPr="009D37F7">
        <w:rPr>
          <w:snapToGrid/>
          <w:sz w:val="28"/>
          <w:szCs w:val="28"/>
          <w:lang w:eastAsia="x-none"/>
        </w:rPr>
        <w:t xml:space="preserve"> земля</w:t>
      </w:r>
      <w:r w:rsidRPr="009D37F7">
        <w:rPr>
          <w:snapToGrid/>
          <w:sz w:val="28"/>
          <w:szCs w:val="28"/>
          <w:lang w:val="x-none" w:eastAsia="x-none"/>
        </w:rPr>
        <w:t>);</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 датой поступления исполнительных документов в бухгалтерию.</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К отложенным бюджетным обязательствам текущего финансового года относятся обязательства по созданным резервам предстоящих расходов.</w:t>
      </w:r>
    </w:p>
    <w:p w:rsidR="009D37F7" w:rsidRPr="009D37F7" w:rsidRDefault="009D37F7" w:rsidP="009D37F7">
      <w:pPr>
        <w:ind w:firstLine="540"/>
        <w:jc w:val="both"/>
        <w:rPr>
          <w:snapToGrid/>
          <w:sz w:val="28"/>
          <w:lang w:val="x-none" w:eastAsia="x-none"/>
        </w:rPr>
      </w:pPr>
      <w:r w:rsidRPr="009D37F7">
        <w:rPr>
          <w:snapToGrid/>
          <w:sz w:val="28"/>
          <w:lang w:eastAsia="x-none"/>
        </w:rPr>
        <w:t>7</w:t>
      </w:r>
      <w:r w:rsidRPr="009D37F7">
        <w:rPr>
          <w:snapToGrid/>
          <w:sz w:val="28"/>
          <w:lang w:val="x-none" w:eastAsia="x-none"/>
        </w:rPr>
        <w:t xml:space="preserve">.2. Денежные обязательства отражаются в учете не ранее принятия бюджетных обязательств. Денежные обязательства принимаются к учету в сумме документа, представляющего их возникновение. </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Денежные обязательства принимаются:</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 xml:space="preserve">– датой подписания подтверждающих документов (товарной накладной, акта выполненных работ (оказанных услуг);  </w:t>
      </w:r>
    </w:p>
    <w:p w:rsidR="009D37F7" w:rsidRPr="009D37F7" w:rsidRDefault="009D37F7" w:rsidP="009D37F7">
      <w:pPr>
        <w:ind w:firstLine="540"/>
        <w:jc w:val="both"/>
        <w:rPr>
          <w:snapToGrid/>
          <w:sz w:val="28"/>
          <w:szCs w:val="28"/>
        </w:rPr>
      </w:pPr>
      <w:r w:rsidRPr="009D37F7">
        <w:rPr>
          <w:snapToGrid/>
          <w:sz w:val="28"/>
          <w:szCs w:val="28"/>
        </w:rPr>
        <w:tab/>
        <w:t xml:space="preserve">– датой оплаты по счету (если </w:t>
      </w:r>
      <w:proofErr w:type="spellStart"/>
      <w:r w:rsidRPr="009D37F7">
        <w:rPr>
          <w:snapToGrid/>
          <w:sz w:val="28"/>
          <w:szCs w:val="28"/>
        </w:rPr>
        <w:t>госконтрактом</w:t>
      </w:r>
      <w:proofErr w:type="spellEnd"/>
      <w:r w:rsidRPr="009D37F7">
        <w:rPr>
          <w:snapToGrid/>
          <w:sz w:val="28"/>
          <w:szCs w:val="28"/>
        </w:rPr>
        <w:t xml:space="preserve"> (договором) предусмотрена выплата аванса);</w:t>
      </w:r>
    </w:p>
    <w:p w:rsidR="009D37F7" w:rsidRPr="009D37F7" w:rsidRDefault="009D37F7" w:rsidP="009D37F7">
      <w:pPr>
        <w:ind w:firstLine="540"/>
        <w:jc w:val="both"/>
        <w:rPr>
          <w:snapToGrid/>
          <w:sz w:val="28"/>
          <w:szCs w:val="28"/>
        </w:rPr>
      </w:pPr>
      <w:r w:rsidRPr="009D37F7">
        <w:rPr>
          <w:snapToGrid/>
          <w:sz w:val="28"/>
          <w:szCs w:val="28"/>
        </w:rPr>
        <w:tab/>
      </w:r>
      <w:r w:rsidRPr="009D37F7">
        <w:rPr>
          <w:snapToGrid/>
          <w:sz w:val="24"/>
          <w:szCs w:val="24"/>
        </w:rPr>
        <w:t xml:space="preserve">– </w:t>
      </w:r>
      <w:r w:rsidRPr="009D37F7">
        <w:rPr>
          <w:snapToGrid/>
          <w:sz w:val="28"/>
          <w:szCs w:val="28"/>
        </w:rPr>
        <w:t>датой подписания расчетной ведомости, расчетно-платежной ведомости, сводной ведомости на зачисление сумм заработной платы на счета карт;</w:t>
      </w:r>
    </w:p>
    <w:p w:rsidR="009D37F7" w:rsidRPr="009D37F7" w:rsidRDefault="009D37F7" w:rsidP="009D37F7">
      <w:pPr>
        <w:ind w:firstLine="540"/>
        <w:jc w:val="both"/>
        <w:rPr>
          <w:snapToGrid/>
          <w:sz w:val="28"/>
          <w:szCs w:val="28"/>
        </w:rPr>
      </w:pPr>
      <w:r w:rsidRPr="009D37F7">
        <w:rPr>
          <w:snapToGrid/>
          <w:sz w:val="28"/>
          <w:szCs w:val="28"/>
        </w:rPr>
        <w:tab/>
        <w:t>– датой принятия бюджетного обязательства</w:t>
      </w:r>
      <w:r w:rsidRPr="009D37F7">
        <w:rPr>
          <w:snapToGrid/>
          <w:sz w:val="24"/>
          <w:szCs w:val="24"/>
        </w:rPr>
        <w:t xml:space="preserve"> </w:t>
      </w:r>
      <w:r w:rsidRPr="009D37F7">
        <w:rPr>
          <w:snapToGrid/>
          <w:sz w:val="28"/>
          <w:szCs w:val="28"/>
        </w:rPr>
        <w:t>на</w:t>
      </w:r>
      <w:r w:rsidRPr="009D37F7">
        <w:rPr>
          <w:snapToGrid/>
          <w:sz w:val="24"/>
          <w:szCs w:val="24"/>
        </w:rPr>
        <w:t xml:space="preserve"> </w:t>
      </w:r>
      <w:r w:rsidRPr="009D37F7">
        <w:rPr>
          <w:snapToGrid/>
          <w:sz w:val="28"/>
          <w:szCs w:val="28"/>
        </w:rPr>
        <w:t>начисления выплат по фонду оплаты труда, компенсации сотрудникам (работникам), находящимся в отпуске по уходу за ребенком до достижения им возраста 3 лет;</w:t>
      </w:r>
    </w:p>
    <w:p w:rsidR="009D37F7" w:rsidRPr="009D37F7" w:rsidRDefault="009D37F7" w:rsidP="009D37F7">
      <w:pPr>
        <w:ind w:firstLine="540"/>
        <w:jc w:val="both"/>
        <w:rPr>
          <w:snapToGrid/>
          <w:sz w:val="28"/>
          <w:lang w:val="x-none" w:eastAsia="x-none"/>
        </w:rPr>
      </w:pPr>
      <w:r w:rsidRPr="009D37F7">
        <w:rPr>
          <w:snapToGrid/>
          <w:sz w:val="28"/>
          <w:lang w:eastAsia="x-none"/>
        </w:rPr>
        <w:tab/>
        <w:t>–</w:t>
      </w:r>
      <w:r w:rsidRPr="009D37F7">
        <w:rPr>
          <w:snapToGrid/>
          <w:sz w:val="28"/>
          <w:lang w:val="x-none" w:eastAsia="x-none"/>
        </w:rPr>
        <w:t xml:space="preserve"> датой расходного кассового ордера на </w:t>
      </w:r>
      <w:proofErr w:type="gramStart"/>
      <w:r w:rsidRPr="009D37F7">
        <w:rPr>
          <w:snapToGrid/>
          <w:sz w:val="28"/>
          <w:lang w:val="x-none" w:eastAsia="x-none"/>
        </w:rPr>
        <w:t>сумму</w:t>
      </w:r>
      <w:proofErr w:type="gramEnd"/>
      <w:r w:rsidRPr="009D37F7">
        <w:rPr>
          <w:snapToGrid/>
          <w:sz w:val="28"/>
          <w:lang w:val="x-none" w:eastAsia="x-none"/>
        </w:rPr>
        <w:t xml:space="preserve"> выданную в под отчет сотруднику;</w:t>
      </w:r>
    </w:p>
    <w:p w:rsidR="009D37F7" w:rsidRPr="009D37F7" w:rsidRDefault="009D37F7" w:rsidP="009D37F7">
      <w:pPr>
        <w:ind w:firstLine="540"/>
        <w:jc w:val="both"/>
        <w:rPr>
          <w:snapToGrid/>
          <w:sz w:val="28"/>
          <w:lang w:val="x-none" w:eastAsia="x-none"/>
        </w:rPr>
      </w:pPr>
      <w:r w:rsidRPr="009D37F7">
        <w:rPr>
          <w:snapToGrid/>
          <w:sz w:val="28"/>
          <w:lang w:eastAsia="x-none"/>
        </w:rPr>
        <w:tab/>
      </w:r>
      <w:r w:rsidRPr="009D37F7">
        <w:rPr>
          <w:snapToGrid/>
          <w:sz w:val="28"/>
          <w:lang w:val="x-none" w:eastAsia="x-none"/>
        </w:rPr>
        <w:t>– датой приходного и расходного ордера корректировки сумм, выданных под отчет сотруднику по ранее принятым денежным обязательствам;</w:t>
      </w:r>
    </w:p>
    <w:p w:rsidR="009D37F7" w:rsidRPr="009D37F7" w:rsidRDefault="009D37F7" w:rsidP="009D37F7">
      <w:pPr>
        <w:ind w:firstLine="540"/>
        <w:jc w:val="both"/>
        <w:rPr>
          <w:snapToGrid/>
          <w:sz w:val="28"/>
          <w:lang w:val="x-none" w:eastAsia="x-none"/>
        </w:rPr>
      </w:pPr>
      <w:r w:rsidRPr="009D37F7">
        <w:rPr>
          <w:snapToGrid/>
          <w:sz w:val="28"/>
          <w:lang w:eastAsia="x-none"/>
        </w:rPr>
        <w:tab/>
        <w:t>–</w:t>
      </w:r>
      <w:r w:rsidRPr="009D37F7">
        <w:rPr>
          <w:snapToGrid/>
          <w:sz w:val="28"/>
          <w:lang w:val="x-none" w:eastAsia="x-none"/>
        </w:rPr>
        <w:t xml:space="preserve"> датой принятия бюджетного обязательства по начислению налогов (имущество, </w:t>
      </w:r>
      <w:r w:rsidRPr="009D37F7">
        <w:rPr>
          <w:snapToGrid/>
          <w:sz w:val="28"/>
          <w:lang w:eastAsia="x-none"/>
        </w:rPr>
        <w:t>земля</w:t>
      </w:r>
      <w:r w:rsidRPr="009D37F7">
        <w:rPr>
          <w:snapToGrid/>
          <w:sz w:val="28"/>
          <w:lang w:val="x-none" w:eastAsia="x-none"/>
        </w:rPr>
        <w:t>);</w:t>
      </w:r>
    </w:p>
    <w:p w:rsidR="009D37F7" w:rsidRPr="009D37F7" w:rsidRDefault="009D37F7" w:rsidP="009D37F7">
      <w:pPr>
        <w:ind w:firstLine="540"/>
        <w:jc w:val="both"/>
        <w:rPr>
          <w:snapToGrid/>
          <w:sz w:val="28"/>
          <w:lang w:val="x-none" w:eastAsia="x-none"/>
        </w:rPr>
      </w:pPr>
      <w:r w:rsidRPr="009D37F7">
        <w:rPr>
          <w:snapToGrid/>
          <w:sz w:val="28"/>
          <w:lang w:eastAsia="x-none"/>
        </w:rPr>
        <w:tab/>
        <w:t>–</w:t>
      </w:r>
      <w:r w:rsidRPr="009D37F7">
        <w:rPr>
          <w:snapToGrid/>
          <w:sz w:val="28"/>
          <w:lang w:val="x-none" w:eastAsia="x-none"/>
        </w:rPr>
        <w:t xml:space="preserve"> датой принятия бюджетного обязательства по исполнительному документу</w:t>
      </w:r>
    </w:p>
    <w:p w:rsidR="009D37F7" w:rsidRPr="009D37F7" w:rsidRDefault="009D37F7" w:rsidP="009D37F7">
      <w:pPr>
        <w:ind w:firstLine="540"/>
        <w:jc w:val="both"/>
        <w:rPr>
          <w:snapToGrid/>
          <w:sz w:val="28"/>
          <w:lang w:val="x-none" w:eastAsia="x-none"/>
        </w:rPr>
      </w:pPr>
      <w:r w:rsidRPr="009D37F7">
        <w:rPr>
          <w:snapToGrid/>
          <w:sz w:val="28"/>
          <w:lang w:eastAsia="x-none"/>
        </w:rPr>
        <w:tab/>
      </w:r>
    </w:p>
    <w:p w:rsidR="009D37F7" w:rsidRPr="009D37F7" w:rsidRDefault="009D37F7" w:rsidP="009D37F7">
      <w:pPr>
        <w:autoSpaceDE w:val="0"/>
        <w:autoSpaceDN w:val="0"/>
        <w:adjustRightInd w:val="0"/>
        <w:ind w:firstLine="567"/>
        <w:jc w:val="center"/>
        <w:rPr>
          <w:b/>
          <w:snapToGrid/>
          <w:sz w:val="28"/>
          <w:szCs w:val="28"/>
        </w:rPr>
      </w:pPr>
      <w:r w:rsidRPr="009D37F7">
        <w:rPr>
          <w:b/>
          <w:snapToGrid/>
          <w:sz w:val="28"/>
          <w:szCs w:val="28"/>
        </w:rPr>
        <w:t>8. Порядок приема-передачи документов бухгалтерского учета при смене начальника инспекции или главного бухгалтера.</w:t>
      </w:r>
    </w:p>
    <w:p w:rsidR="009D37F7" w:rsidRPr="009D37F7" w:rsidRDefault="009D37F7" w:rsidP="009D37F7">
      <w:pPr>
        <w:autoSpaceDE w:val="0"/>
        <w:autoSpaceDN w:val="0"/>
        <w:adjustRightInd w:val="0"/>
        <w:ind w:firstLine="540"/>
        <w:jc w:val="both"/>
        <w:rPr>
          <w:b/>
          <w:snapToGrid/>
          <w:sz w:val="28"/>
          <w:szCs w:val="28"/>
        </w:rPr>
      </w:pPr>
    </w:p>
    <w:p w:rsidR="009D37F7" w:rsidRPr="009D37F7" w:rsidRDefault="009D37F7" w:rsidP="009D37F7">
      <w:pPr>
        <w:autoSpaceDE w:val="0"/>
        <w:autoSpaceDN w:val="0"/>
        <w:adjustRightInd w:val="0"/>
        <w:ind w:firstLine="540"/>
        <w:jc w:val="both"/>
        <w:rPr>
          <w:snapToGrid/>
          <w:sz w:val="28"/>
          <w:szCs w:val="28"/>
        </w:rPr>
      </w:pPr>
      <w:r w:rsidRPr="009D37F7">
        <w:rPr>
          <w:snapToGrid/>
          <w:sz w:val="28"/>
          <w:szCs w:val="28"/>
        </w:rPr>
        <w:t>8.1. При смене начальника инспекции или  главного бухгалтера (далее - увольняемое лицо) в рамках передачи дел увольняемое лицо передает заместителю или новому должностному лицу, или иному уполномоченному должностному лицу учреждения (далее - уполномоченное лицо) документы финансовой, бухгалтерской деятельности, а также печати и штампы, хранящиеся у увольняемого лица. Передача финансовых и бухгалтерских документов и печатей оформляется актом приема-</w:t>
      </w:r>
      <w:r w:rsidRPr="009D37F7">
        <w:rPr>
          <w:snapToGrid/>
          <w:sz w:val="28"/>
          <w:szCs w:val="28"/>
        </w:rPr>
        <w:lastRenderedPageBreak/>
        <w:t>передачи. Перечень передаваемых документов, их количество и тип прилагаются к акту приема-передачи. Акт приема-передачи подписывается увольняемым лицом, а также уполномоченным лицом, принимающим дела. Акт приема-передачи оформляется в последний рабочий день увольняемого лица. Акт приема-передачи дел составляется в двух экземплярах: 1-й экземпляр – увольняемому лицу, 2-й экземпляр – уполномоченному лицу, которое принимало дела.  </w:t>
      </w:r>
    </w:p>
    <w:p w:rsidR="009D37F7" w:rsidRPr="009D37F7" w:rsidRDefault="009D37F7" w:rsidP="009D37F7">
      <w:pPr>
        <w:jc w:val="both"/>
        <w:rPr>
          <w:snapToGrid/>
          <w:sz w:val="28"/>
          <w:szCs w:val="28"/>
        </w:rPr>
      </w:pPr>
    </w:p>
    <w:p w:rsidR="009D37F7" w:rsidRPr="009D37F7" w:rsidRDefault="009D37F7" w:rsidP="009D37F7">
      <w:pPr>
        <w:spacing w:after="200"/>
        <w:ind w:firstLine="567"/>
        <w:jc w:val="center"/>
        <w:rPr>
          <w:rFonts w:eastAsia="Calibri"/>
          <w:b/>
          <w:snapToGrid/>
          <w:sz w:val="28"/>
          <w:szCs w:val="28"/>
          <w:lang w:eastAsia="en-US"/>
        </w:rPr>
      </w:pPr>
      <w:r w:rsidRPr="009D37F7">
        <w:rPr>
          <w:rFonts w:eastAsia="Calibri"/>
          <w:b/>
          <w:snapToGrid/>
          <w:sz w:val="28"/>
          <w:szCs w:val="28"/>
          <w:lang w:eastAsia="en-US"/>
        </w:rPr>
        <w:t>9. Передача  имущества в безвозмездное пользование</w:t>
      </w:r>
    </w:p>
    <w:p w:rsidR="009D37F7" w:rsidRPr="009D37F7" w:rsidRDefault="009D37F7" w:rsidP="009D37F7">
      <w:pPr>
        <w:spacing w:after="200"/>
        <w:ind w:firstLine="708"/>
        <w:jc w:val="both"/>
        <w:rPr>
          <w:rFonts w:eastAsia="Calibri"/>
          <w:snapToGrid/>
          <w:sz w:val="28"/>
          <w:szCs w:val="28"/>
          <w:lang w:eastAsia="en-US"/>
        </w:rPr>
      </w:pPr>
      <w:r w:rsidRPr="009D37F7">
        <w:rPr>
          <w:rFonts w:eastAsia="Calibri"/>
          <w:snapToGrid/>
          <w:sz w:val="28"/>
          <w:szCs w:val="28"/>
          <w:lang w:eastAsia="en-US"/>
        </w:rPr>
        <w:t xml:space="preserve">9.1. При передаче в безвозмездное пользование имущества, находящееся в оперативном управлении Инспекции (по согласованию с УФНС России по Нижегородской области, с ФНС России и  </w:t>
      </w:r>
      <w:proofErr w:type="spellStart"/>
      <w:r w:rsidRPr="009D37F7">
        <w:rPr>
          <w:rFonts w:eastAsia="Calibri"/>
          <w:snapToGrid/>
          <w:sz w:val="28"/>
          <w:szCs w:val="28"/>
          <w:lang w:eastAsia="en-US"/>
        </w:rPr>
        <w:t>Росимуществом</w:t>
      </w:r>
      <w:proofErr w:type="spellEnd"/>
      <w:r w:rsidRPr="009D37F7">
        <w:rPr>
          <w:rFonts w:eastAsia="Calibri"/>
          <w:snapToGrid/>
          <w:sz w:val="28"/>
          <w:szCs w:val="28"/>
          <w:lang w:eastAsia="en-US"/>
        </w:rPr>
        <w:t>) оформляется договор безвозмездного пользования.</w:t>
      </w:r>
    </w:p>
    <w:p w:rsidR="009D37F7" w:rsidRPr="009D37F7" w:rsidRDefault="009D37F7" w:rsidP="009D37F7">
      <w:pPr>
        <w:spacing w:after="200"/>
        <w:ind w:firstLine="708"/>
        <w:jc w:val="both"/>
        <w:rPr>
          <w:snapToGrid/>
          <w:sz w:val="24"/>
          <w:szCs w:val="24"/>
        </w:rPr>
      </w:pPr>
      <w:r w:rsidRPr="009D37F7">
        <w:rPr>
          <w:rFonts w:eastAsia="Calibri"/>
          <w:snapToGrid/>
          <w:sz w:val="28"/>
          <w:szCs w:val="28"/>
          <w:lang w:eastAsia="en-US"/>
        </w:rPr>
        <w:t xml:space="preserve">9.2. Площади, переданные в безвозмездное пользование, учитываются на  </w:t>
      </w:r>
      <w:proofErr w:type="spellStart"/>
      <w:r w:rsidRPr="009D37F7">
        <w:rPr>
          <w:rFonts w:eastAsia="Calibri"/>
          <w:snapToGrid/>
          <w:sz w:val="28"/>
          <w:szCs w:val="28"/>
          <w:lang w:eastAsia="en-US"/>
        </w:rPr>
        <w:t>забалансовом</w:t>
      </w:r>
      <w:proofErr w:type="spellEnd"/>
      <w:r w:rsidRPr="009D37F7">
        <w:rPr>
          <w:rFonts w:eastAsia="Calibri"/>
          <w:snapToGrid/>
          <w:sz w:val="28"/>
          <w:szCs w:val="28"/>
          <w:lang w:eastAsia="en-US"/>
        </w:rPr>
        <w:t xml:space="preserve"> счете 26.</w:t>
      </w:r>
    </w:p>
    <w:p w:rsidR="009F6F5A" w:rsidRDefault="009F6F5A"/>
    <w:sectPr w:rsidR="009F6F5A" w:rsidSect="009A1F8D">
      <w:pgSz w:w="11906" w:h="16838" w:code="9"/>
      <w:pgMar w:top="340" w:right="567"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576BE"/>
    <w:multiLevelType w:val="multilevel"/>
    <w:tmpl w:val="40320A40"/>
    <w:lvl w:ilvl="0">
      <w:start w:val="1"/>
      <w:numFmt w:val="decimal"/>
      <w:lvlText w:val="%1."/>
      <w:lvlJc w:val="left"/>
      <w:pPr>
        <w:ind w:left="720" w:hanging="360"/>
      </w:pPr>
      <w:rPr>
        <w:rFonts w:hint="default"/>
      </w:rPr>
    </w:lvl>
    <w:lvl w:ilvl="1">
      <w:start w:val="1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615B220D"/>
    <w:multiLevelType w:val="hybridMultilevel"/>
    <w:tmpl w:val="051C84F6"/>
    <w:lvl w:ilvl="0" w:tplc="87C2A3B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7265FF"/>
    <w:multiLevelType w:val="hybridMultilevel"/>
    <w:tmpl w:val="1ADE051A"/>
    <w:lvl w:ilvl="0" w:tplc="FBB626DC">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62"/>
    <w:rsid w:val="00441862"/>
    <w:rsid w:val="009B27D7"/>
    <w:rsid w:val="009D37F7"/>
    <w:rsid w:val="009F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F7"/>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D37F7"/>
    <w:pPr>
      <w:spacing w:before="120" w:after="240"/>
      <w:jc w:val="center"/>
    </w:pPr>
    <w:rPr>
      <w:b/>
      <w:snapToGrid/>
      <w:sz w:val="24"/>
    </w:rPr>
  </w:style>
  <w:style w:type="paragraph" w:customStyle="1" w:styleId="ConsPlusNormal">
    <w:name w:val="ConsPlusNormal"/>
    <w:rsid w:val="009D37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F7"/>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9D37F7"/>
    <w:pPr>
      <w:spacing w:before="120" w:after="240"/>
      <w:jc w:val="center"/>
    </w:pPr>
    <w:rPr>
      <w:b/>
      <w:snapToGrid/>
      <w:sz w:val="24"/>
    </w:rPr>
  </w:style>
  <w:style w:type="paragraph" w:customStyle="1" w:styleId="ConsPlusNormal">
    <w:name w:val="ConsPlusNormal"/>
    <w:rsid w:val="009D37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C42068EB5DA787168DC01DA5D8496B1D9180E0AD8C73D8D491F7FD5851107BCD10F1B0C7C8F2A012E0E1A0A28261ACA4DA64D301AE1B1d0O1O" TargetMode="External"/><Relationship Id="rId13" Type="http://schemas.openxmlformats.org/officeDocument/2006/relationships/hyperlink" Target="consultantplus://offline/ref=D384EB78BD0BBEA7FC1074AA47ABA7B9EE9F383D2192D5116EAB7D6B02O973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588970C1E8C614E7FFB5C452B53171CDD2FFCE85D160579DC2DC2FFAB1E1D300F05AA4CA8C54D0EC03E7C820B71FD3BF30F99B91AIAN6O" TargetMode="External"/><Relationship Id="rId12" Type="http://schemas.openxmlformats.org/officeDocument/2006/relationships/hyperlink" Target="consultantplus://offline/ref=D384EB78BD0BBEA7FC1074AA47ABA7B9EE9C363B2E93D5116EAB7D6B02O973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384EB78BD0BBEA7FC1074AA47ABA7B9EE9F3A332E9FD5116EAB7D6B02O973G" TargetMode="External"/><Relationship Id="rId1" Type="http://schemas.openxmlformats.org/officeDocument/2006/relationships/numbering" Target="numbering.xml"/><Relationship Id="rId6" Type="http://schemas.openxmlformats.org/officeDocument/2006/relationships/hyperlink" Target="consultantplus://offline/ref=8B537501CD7D9F1515566D913B58D7911A02C8E22E8FC623E39F7B5843D233856AB94F436CE69F17CFC4A9805747E3F492CF72004B2D4C49dDL1O" TargetMode="External"/><Relationship Id="rId11" Type="http://schemas.openxmlformats.org/officeDocument/2006/relationships/hyperlink" Target="consultantplus://offline/ref=D384EB78BD0BBEA7FC1074AA47ABA7B9EE9C373D229AD5116EAB7D6B02O973G" TargetMode="External"/><Relationship Id="rId5" Type="http://schemas.openxmlformats.org/officeDocument/2006/relationships/webSettings" Target="webSettings.xml"/><Relationship Id="rId15" Type="http://schemas.openxmlformats.org/officeDocument/2006/relationships/hyperlink" Target="consultantplus://offline/ref=D384EB78BD0BBEA7FC1074AA47ABA7B9EE9F3832219AD5116EAB7D6B02O973G" TargetMode="External"/><Relationship Id="rId10" Type="http://schemas.openxmlformats.org/officeDocument/2006/relationships/hyperlink" Target="consultantplus://offline/ref=D384EB78BD0BBEA7FC1074AA47ABA7B9EE9C3E3D249CD5116EAB7D6B02O973G" TargetMode="External"/><Relationship Id="rId4" Type="http://schemas.openxmlformats.org/officeDocument/2006/relationships/settings" Target="settings.xml"/><Relationship Id="rId9" Type="http://schemas.openxmlformats.org/officeDocument/2006/relationships/hyperlink" Target="consultantplus://offline/ref=DD0B9F10A38227328B585E334CEAE781E1F6EF978F4B8F3D6FE88012B501CF28D20A5194E7FE5470946C9940465EEC3B3BFFEBCF0779D604mEPAO" TargetMode="External"/><Relationship Id="rId14" Type="http://schemas.openxmlformats.org/officeDocument/2006/relationships/hyperlink" Target="consultantplus://offline/ref=D384EB78BD0BBEA7FC1074AA47ABA7B9EE9D393C279ED5116EAB7D6B02O9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2634</Words>
  <Characters>15018</Characters>
  <Application>Microsoft Office Word</Application>
  <DocSecurity>0</DocSecurity>
  <Lines>125</Lines>
  <Paragraphs>35</Paragraphs>
  <ScaleCrop>false</ScaleCrop>
  <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Макурина</dc:creator>
  <cp:keywords/>
  <dc:description/>
  <cp:lastModifiedBy>Татьяна Сергеевна Макурина</cp:lastModifiedBy>
  <cp:revision>3</cp:revision>
  <dcterms:created xsi:type="dcterms:W3CDTF">2019-02-06T12:49:00Z</dcterms:created>
  <dcterms:modified xsi:type="dcterms:W3CDTF">2019-02-06T12:50:00Z</dcterms:modified>
</cp:coreProperties>
</file>