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554"/>
        <w:gridCol w:w="813"/>
        <w:gridCol w:w="4033"/>
        <w:gridCol w:w="960"/>
      </w:tblGrid>
      <w:tr w:rsidR="00000B13" w:rsidRPr="00000B13" w:rsidTr="00000B13">
        <w:trPr>
          <w:trHeight w:val="1266"/>
        </w:trPr>
        <w:tc>
          <w:tcPr>
            <w:tcW w:w="12500" w:type="dxa"/>
            <w:gridSpan w:val="5"/>
            <w:hideMark/>
          </w:tcPr>
          <w:p w:rsidR="00000B13" w:rsidRPr="00000B13" w:rsidRDefault="00000B13" w:rsidP="00000B13">
            <w:pPr>
              <w:jc w:val="center"/>
              <w:rPr>
                <w:b/>
                <w:bCs/>
              </w:rPr>
            </w:pPr>
            <w:r w:rsidRPr="00000B13">
              <w:rPr>
                <w:b/>
                <w:bCs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</w:t>
            </w:r>
            <w:r>
              <w:rPr>
                <w:b/>
                <w:bCs/>
              </w:rPr>
              <w:t>3 месяца</w:t>
            </w:r>
            <w:r w:rsidRPr="00000B13">
              <w:rPr>
                <w:b/>
                <w:bCs/>
              </w:rPr>
              <w:t xml:space="preserve"> 2016 года</w:t>
            </w: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 w:val="restart"/>
            <w:hideMark/>
          </w:tcPr>
          <w:p w:rsidR="00000B13" w:rsidRPr="00000B13" w:rsidRDefault="00000B13" w:rsidP="00000B13">
            <w:bookmarkStart w:id="0" w:name="_GoBack" w:colFirst="2" w:colLast="3"/>
            <w:r w:rsidRPr="00000B13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940" w:type="dxa"/>
            <w:gridSpan w:val="3"/>
            <w:hideMark/>
          </w:tcPr>
          <w:p w:rsidR="00000B13" w:rsidRPr="00000B13" w:rsidRDefault="00000B13" w:rsidP="00000B13">
            <w:r w:rsidRPr="00000B13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  <w:r w:rsidRPr="00000B13">
              <w:t>23</w:t>
            </w: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8940" w:type="dxa"/>
            <w:gridSpan w:val="3"/>
            <w:hideMark/>
          </w:tcPr>
          <w:p w:rsidR="00000B13" w:rsidRPr="00000B13" w:rsidRDefault="00000B13" w:rsidP="00000B13">
            <w:r w:rsidRPr="00000B13">
              <w:t>Количество проведенных заседаний комиссий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  <w:r w:rsidRPr="00000B13">
              <w:t>8</w:t>
            </w: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8940" w:type="dxa"/>
            <w:gridSpan w:val="3"/>
            <w:hideMark/>
          </w:tcPr>
          <w:p w:rsidR="00000B13" w:rsidRPr="00000B13" w:rsidRDefault="00000B13" w:rsidP="00000B13">
            <w:r w:rsidRPr="00000B13"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  <w:r w:rsidRPr="00000B13">
              <w:t>14</w:t>
            </w: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 w:val="restart"/>
            <w:hideMark/>
          </w:tcPr>
          <w:p w:rsidR="00000B13" w:rsidRPr="00000B13" w:rsidRDefault="00000B13" w:rsidP="00000B13">
            <w:r w:rsidRPr="00000B13">
              <w:t xml:space="preserve">в том числе, </w:t>
            </w:r>
            <w:proofErr w:type="gramStart"/>
            <w:r w:rsidRPr="00000B13">
              <w:t>касающиеся</w:t>
            </w:r>
            <w:proofErr w:type="gramEnd"/>
          </w:p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  <w:r w:rsidRPr="00000B13">
              <w:t>1</w:t>
            </w: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  <w:r w:rsidRPr="00000B13">
              <w:t>13</w:t>
            </w:r>
          </w:p>
        </w:tc>
      </w:tr>
      <w:tr w:rsidR="00000B13" w:rsidRPr="00000B13" w:rsidTr="00000B13">
        <w:trPr>
          <w:trHeight w:val="330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960" w:type="dxa"/>
            <w:hideMark/>
          </w:tcPr>
          <w:p w:rsidR="00000B13" w:rsidRPr="00000B13" w:rsidRDefault="00000B13" w:rsidP="00000B13">
            <w:r w:rsidRPr="00000B13">
              <w:t>из них</w:t>
            </w:r>
          </w:p>
        </w:tc>
        <w:tc>
          <w:tcPr>
            <w:tcW w:w="6260" w:type="dxa"/>
            <w:hideMark/>
          </w:tcPr>
          <w:p w:rsidR="00000B13" w:rsidRPr="00000B13" w:rsidRDefault="00000B13" w:rsidP="00000B13">
            <w:r w:rsidRPr="00000B13">
              <w:t>разрешено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  <w:r w:rsidRPr="00000B13">
              <w:t>13</w:t>
            </w:r>
          </w:p>
        </w:tc>
      </w:tr>
      <w:tr w:rsidR="00000B13" w:rsidRPr="00000B13" w:rsidTr="00000B13">
        <w:trPr>
          <w:trHeight w:val="73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8940" w:type="dxa"/>
            <w:gridSpan w:val="3"/>
            <w:hideMark/>
          </w:tcPr>
          <w:p w:rsidR="00000B13" w:rsidRPr="00000B13" w:rsidRDefault="00000B13" w:rsidP="00000B13">
            <w:r w:rsidRPr="00000B13">
              <w:t>Количество выявленных комиссиями нарушений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 w:val="restart"/>
            <w:hideMark/>
          </w:tcPr>
          <w:p w:rsidR="00000B13" w:rsidRPr="00000B13" w:rsidRDefault="00000B13" w:rsidP="00000B13">
            <w:r w:rsidRPr="00000B13">
              <w:t>в том числе касающихся требований</w:t>
            </w:r>
          </w:p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205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330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к служебному поведению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330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об урегулировании конфликта интересов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8940" w:type="dxa"/>
            <w:gridSpan w:val="3"/>
            <w:hideMark/>
          </w:tcPr>
          <w:p w:rsidR="00000B13" w:rsidRPr="00000B13" w:rsidRDefault="00000B13" w:rsidP="00000B13">
            <w:r w:rsidRPr="00000B13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 w:val="restart"/>
            <w:hideMark/>
          </w:tcPr>
          <w:p w:rsidR="00000B13" w:rsidRPr="00000B13" w:rsidRDefault="00000B13" w:rsidP="00000B13">
            <w:r w:rsidRPr="00000B13">
              <w:t>в том числе за нарушения требований</w:t>
            </w:r>
          </w:p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130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2175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330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к служебному поведению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tr w:rsidR="00000B13" w:rsidRPr="00000B13" w:rsidTr="00000B13">
        <w:trPr>
          <w:trHeight w:val="330"/>
        </w:trPr>
        <w:tc>
          <w:tcPr>
            <w:tcW w:w="2600" w:type="dxa"/>
            <w:vMerge/>
            <w:hideMark/>
          </w:tcPr>
          <w:p w:rsidR="00000B13" w:rsidRPr="00000B13" w:rsidRDefault="00000B13"/>
        </w:tc>
        <w:tc>
          <w:tcPr>
            <w:tcW w:w="1720" w:type="dxa"/>
            <w:vMerge/>
            <w:hideMark/>
          </w:tcPr>
          <w:p w:rsidR="00000B13" w:rsidRPr="00000B13" w:rsidRDefault="00000B13"/>
        </w:tc>
        <w:tc>
          <w:tcPr>
            <w:tcW w:w="7220" w:type="dxa"/>
            <w:gridSpan w:val="2"/>
            <w:hideMark/>
          </w:tcPr>
          <w:p w:rsidR="00000B13" w:rsidRPr="00000B13" w:rsidRDefault="00000B13" w:rsidP="00000B13">
            <w:r w:rsidRPr="00000B13">
              <w:t>об урегулировании конфликта интересов</w:t>
            </w:r>
          </w:p>
        </w:tc>
        <w:tc>
          <w:tcPr>
            <w:tcW w:w="960" w:type="dxa"/>
            <w:noWrap/>
            <w:vAlign w:val="center"/>
            <w:hideMark/>
          </w:tcPr>
          <w:p w:rsidR="00000B13" w:rsidRPr="00000B13" w:rsidRDefault="00000B13" w:rsidP="00000B13">
            <w:pPr>
              <w:jc w:val="center"/>
            </w:pPr>
          </w:p>
        </w:tc>
      </w:tr>
      <w:bookmarkEnd w:id="0"/>
    </w:tbl>
    <w:p w:rsidR="00057AA3" w:rsidRDefault="00057AA3"/>
    <w:sectPr w:rsidR="000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9"/>
    <w:rsid w:val="00000B13"/>
    <w:rsid w:val="00057AA3"/>
    <w:rsid w:val="00B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2017-01-25T12:45:00Z</dcterms:created>
  <dcterms:modified xsi:type="dcterms:W3CDTF">2017-01-25T12:45:00Z</dcterms:modified>
</cp:coreProperties>
</file>