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E5" w:rsidRPr="00C545C2" w:rsidRDefault="00057BE5" w:rsidP="001670F6">
      <w:pPr>
        <w:pStyle w:val="ConsPlusNormal"/>
        <w:jc w:val="right"/>
        <w:outlineLvl w:val="0"/>
        <w:rPr>
          <w:color w:val="000000" w:themeColor="text1"/>
        </w:rPr>
      </w:pPr>
      <w:r w:rsidRPr="00C545C2">
        <w:rPr>
          <w:color w:val="000000" w:themeColor="text1"/>
        </w:rPr>
        <w:t>Приложение</w:t>
      </w:r>
    </w:p>
    <w:p w:rsidR="00057BE5" w:rsidRPr="00C545C2" w:rsidRDefault="00057BE5">
      <w:pPr>
        <w:pStyle w:val="ConsPlusNormal"/>
        <w:jc w:val="right"/>
        <w:rPr>
          <w:color w:val="000000" w:themeColor="text1"/>
        </w:rPr>
      </w:pPr>
      <w:r w:rsidRPr="00C545C2">
        <w:rPr>
          <w:color w:val="000000" w:themeColor="text1"/>
        </w:rPr>
        <w:t>к Закону</w:t>
      </w:r>
    </w:p>
    <w:p w:rsidR="00057BE5" w:rsidRPr="00C545C2" w:rsidRDefault="00057BE5">
      <w:pPr>
        <w:pStyle w:val="ConsPlusNormal"/>
        <w:jc w:val="right"/>
        <w:rPr>
          <w:color w:val="000000" w:themeColor="text1"/>
        </w:rPr>
      </w:pPr>
      <w:r w:rsidRPr="00C545C2">
        <w:rPr>
          <w:color w:val="000000" w:themeColor="text1"/>
        </w:rPr>
        <w:t>Саратовской области "О введении на территории</w:t>
      </w:r>
    </w:p>
    <w:p w:rsidR="00057BE5" w:rsidRPr="00C545C2" w:rsidRDefault="00057BE5">
      <w:pPr>
        <w:pStyle w:val="ConsPlusNormal"/>
        <w:jc w:val="right"/>
        <w:rPr>
          <w:color w:val="000000" w:themeColor="text1"/>
        </w:rPr>
      </w:pPr>
      <w:r w:rsidRPr="00C545C2">
        <w:rPr>
          <w:color w:val="000000" w:themeColor="text1"/>
        </w:rPr>
        <w:t>Саратовской области патентной системы налогообложения"</w:t>
      </w:r>
    </w:p>
    <w:p w:rsidR="00057BE5" w:rsidRPr="00C545C2" w:rsidRDefault="00057BE5">
      <w:pPr>
        <w:pStyle w:val="ConsPlusNormal"/>
        <w:jc w:val="both"/>
        <w:rPr>
          <w:color w:val="000000" w:themeColor="text1"/>
        </w:rPr>
      </w:pPr>
    </w:p>
    <w:p w:rsidR="00057BE5" w:rsidRPr="00C545C2" w:rsidRDefault="00057BE5">
      <w:pPr>
        <w:pStyle w:val="ConsPlusTitle"/>
        <w:jc w:val="center"/>
        <w:rPr>
          <w:color w:val="000000" w:themeColor="text1"/>
        </w:rPr>
      </w:pPr>
      <w:bookmarkStart w:id="0" w:name="Par65"/>
      <w:bookmarkEnd w:id="0"/>
      <w:r w:rsidRPr="00C545C2">
        <w:rPr>
          <w:color w:val="000000" w:themeColor="text1"/>
        </w:rPr>
        <w:t>РАЗМЕРЫ</w:t>
      </w:r>
    </w:p>
    <w:p w:rsidR="00057BE5" w:rsidRPr="00C545C2" w:rsidRDefault="00057BE5">
      <w:pPr>
        <w:pStyle w:val="ConsPlusTitle"/>
        <w:jc w:val="center"/>
        <w:rPr>
          <w:color w:val="000000" w:themeColor="text1"/>
        </w:rPr>
      </w:pPr>
      <w:r w:rsidRPr="00C545C2">
        <w:rPr>
          <w:color w:val="000000" w:themeColor="text1"/>
        </w:rPr>
        <w:t>ПОТЕНЦИАЛЬНО ВОЗМОЖНОГО К ПОЛУЧЕНИЮ ИНДИВИДУАЛЬНЫМ</w:t>
      </w:r>
    </w:p>
    <w:p w:rsidR="00057BE5" w:rsidRPr="00C545C2" w:rsidRDefault="00057BE5">
      <w:pPr>
        <w:pStyle w:val="ConsPlusTitle"/>
        <w:jc w:val="center"/>
        <w:rPr>
          <w:color w:val="000000" w:themeColor="text1"/>
        </w:rPr>
      </w:pPr>
      <w:r w:rsidRPr="00C545C2">
        <w:rPr>
          <w:color w:val="000000" w:themeColor="text1"/>
        </w:rPr>
        <w:t>ПРЕДПРИНИМАТЕЛЕМ ГОДОВОГО ДОХОДА ПО ВИДАМ</w:t>
      </w:r>
    </w:p>
    <w:p w:rsidR="00057BE5" w:rsidRPr="00C545C2" w:rsidRDefault="00057BE5">
      <w:pPr>
        <w:pStyle w:val="ConsPlusTitle"/>
        <w:jc w:val="center"/>
        <w:rPr>
          <w:color w:val="000000" w:themeColor="text1"/>
        </w:rPr>
      </w:pPr>
      <w:r w:rsidRPr="00C545C2">
        <w:rPr>
          <w:color w:val="000000" w:themeColor="text1"/>
        </w:rPr>
        <w:t>ПРЕДПРИНИМАТЕЛЬСКОЙ ДЕЯТЕЛЬНОСТИ, В ОТНОШЕНИИ КОТОРЫХ</w:t>
      </w:r>
    </w:p>
    <w:p w:rsidR="00057BE5" w:rsidRPr="00C545C2" w:rsidRDefault="00057BE5">
      <w:pPr>
        <w:pStyle w:val="ConsPlusTitle"/>
        <w:jc w:val="center"/>
        <w:rPr>
          <w:color w:val="000000" w:themeColor="text1"/>
        </w:rPr>
      </w:pPr>
      <w:r w:rsidRPr="00C545C2">
        <w:rPr>
          <w:color w:val="000000" w:themeColor="text1"/>
        </w:rPr>
        <w:t>ПРИМЕНЯЕТСЯ ПАТЕНТНАЯ СИСТЕМА НАЛОГООБЛОЖЕНИЯ,</w:t>
      </w:r>
    </w:p>
    <w:p w:rsidR="00057BE5" w:rsidRPr="00C545C2" w:rsidRDefault="00057BE5">
      <w:pPr>
        <w:pStyle w:val="ConsPlusTitle"/>
        <w:jc w:val="center"/>
        <w:rPr>
          <w:color w:val="000000" w:themeColor="text1"/>
        </w:rPr>
      </w:pPr>
      <w:r w:rsidRPr="00C545C2">
        <w:rPr>
          <w:color w:val="000000" w:themeColor="text1"/>
        </w:rPr>
        <w:t>НА КАЛЕНДАРНЫЙ ГОД</w:t>
      </w:r>
    </w:p>
    <w:p w:rsidR="00EF30F1" w:rsidRPr="00C545C2" w:rsidRDefault="00EF30F1" w:rsidP="00EF30F1">
      <w:pPr>
        <w:pStyle w:val="ConsPlusNormal"/>
        <w:jc w:val="center"/>
        <w:rPr>
          <w:color w:val="000000" w:themeColor="text1"/>
        </w:rPr>
      </w:pPr>
      <w:r w:rsidRPr="00C545C2">
        <w:rPr>
          <w:color w:val="000000" w:themeColor="text1"/>
        </w:rPr>
        <w:t>Список изменяющих документов</w:t>
      </w:r>
    </w:p>
    <w:p w:rsidR="00EF30F1" w:rsidRPr="00C545C2" w:rsidRDefault="00EF30F1" w:rsidP="00EF30F1">
      <w:pPr>
        <w:pStyle w:val="ConsPlusNormal"/>
        <w:jc w:val="center"/>
        <w:rPr>
          <w:color w:val="000000" w:themeColor="text1"/>
        </w:rPr>
      </w:pPr>
      <w:r w:rsidRPr="00C545C2">
        <w:rPr>
          <w:color w:val="000000" w:themeColor="text1"/>
        </w:rPr>
        <w:t>(в ред. законов Саратовско</w:t>
      </w:r>
      <w:bookmarkStart w:id="1" w:name="_GoBack"/>
      <w:bookmarkEnd w:id="1"/>
      <w:r w:rsidRPr="00C545C2">
        <w:rPr>
          <w:color w:val="000000" w:themeColor="text1"/>
        </w:rPr>
        <w:t>й области</w:t>
      </w:r>
    </w:p>
    <w:p w:rsidR="00057BE5" w:rsidRPr="00C545C2" w:rsidRDefault="00EF30F1" w:rsidP="00EF30F1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C545C2">
        <w:rPr>
          <w:color w:val="000000" w:themeColor="text1"/>
        </w:rPr>
        <w:t>от 25.11.2015 N 151-ЗСО, от 28.11.2017 N 103-ЗСО)</w:t>
      </w:r>
    </w:p>
    <w:p w:rsidR="00057BE5" w:rsidRPr="00C545C2" w:rsidRDefault="00057BE5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68"/>
        <w:gridCol w:w="1701"/>
        <w:gridCol w:w="1587"/>
        <w:gridCol w:w="2211"/>
        <w:gridCol w:w="1871"/>
        <w:gridCol w:w="1928"/>
        <w:gridCol w:w="1361"/>
      </w:tblGrid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Вид предпринимательской деятельности</w:t>
            </w:r>
          </w:p>
        </w:tc>
        <w:tc>
          <w:tcPr>
            <w:tcW w:w="10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Размер потенциально возможного к получению индивидуальным предпринимателем годового дохода, тыс. руб.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1-я группа муниципальных образований области:</w:t>
            </w:r>
          </w:p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муниципальное образование "Город Саратов"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2-я группа муниципальных образований области:</w:t>
            </w:r>
          </w:p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муниципальное образование город Балаково;</w:t>
            </w:r>
          </w:p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муниципальное образование город Энгельс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3-я группа муниципальных образований области:</w:t>
            </w:r>
          </w:p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муниципальное образование город Аткарск;</w:t>
            </w:r>
          </w:p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муниципальное образование город Балашов;</w:t>
            </w:r>
          </w:p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муниципальное образование город Вольск;</w:t>
            </w:r>
          </w:p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муниципальное образование город Ершов;</w:t>
            </w:r>
          </w:p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муниципальное образование город Красноармейск;</w:t>
            </w:r>
          </w:p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муниципальное образование город Маркс;</w:t>
            </w:r>
          </w:p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 xml:space="preserve">муниципальное </w:t>
            </w:r>
            <w:r w:rsidRPr="00C545C2">
              <w:rPr>
                <w:color w:val="000000" w:themeColor="text1"/>
              </w:rPr>
              <w:lastRenderedPageBreak/>
              <w:t>образование город Петровск;</w:t>
            </w:r>
          </w:p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муниципальное образование город Пугачев;</w:t>
            </w:r>
          </w:p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муниципальное образование город Ртищево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lastRenderedPageBreak/>
              <w:t>4-я группа муниципальных образований области:</w:t>
            </w:r>
          </w:p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муниципальное образование город Аркадак;</w:t>
            </w:r>
          </w:p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закрытое административно-территориальное образование - поселок Светлый;</w:t>
            </w:r>
          </w:p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муниципальное образование город Красный Кут;</w:t>
            </w:r>
          </w:p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муниципальное образование город Калининск;</w:t>
            </w:r>
          </w:p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муниципальное образование город Новоузенск;</w:t>
            </w:r>
          </w:p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C545C2">
              <w:rPr>
                <w:color w:val="000000" w:themeColor="text1"/>
              </w:rPr>
              <w:lastRenderedPageBreak/>
              <w:t>Степновское</w:t>
            </w:r>
            <w:proofErr w:type="spellEnd"/>
            <w:r w:rsidRPr="00C545C2">
              <w:rPr>
                <w:color w:val="000000" w:themeColor="text1"/>
              </w:rPr>
              <w:t xml:space="preserve"> муниципальное образование;</w:t>
            </w:r>
          </w:p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муниципальное образование город Хвалынск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lastRenderedPageBreak/>
              <w:t>5-я группа муниципальных образований области:</w:t>
            </w:r>
          </w:p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закрытое административно-территориальное образование поселок Михайловский, закрытое административно-территориальное образование Шиханы и иные поселения, не включенные в 1-ю, 2-ю, 3-ю, 4-ю группы муниципальных образований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все группы муниципальных образований области</w:t>
            </w:r>
          </w:p>
        </w:tc>
      </w:tr>
      <w:tr w:rsidR="00057BE5" w:rsidRPr="00C545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</w:t>
            </w: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121,5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101,3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202,5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472,5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283,5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236,3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364,5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303,8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742,5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594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445,5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371,3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526,5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438,8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13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Ремонт, чистка, окраска и пошив обуви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384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384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Парикмахерские и косметические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297,5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382,5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Химическая чистка, крашение и услуги прачечных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121,5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101,3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202,5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472,5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283,5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236,3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364,5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303,8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742,5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594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445,5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371,3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526,5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438,8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13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297,5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382,5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Ремонт мебели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121,5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101,3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202,5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472,5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283,5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236,3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364,5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303,8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742,5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594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445,5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371,3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526,5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438,8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13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lastRenderedPageBreak/>
              <w:t>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5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136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(п. 7.1 введен Законом Саратовской области от 28.11.2017 N 103-ЗСО)</w:t>
            </w: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 xml:space="preserve">с привлечением наемных работников </w:t>
            </w:r>
            <w:r w:rsidRPr="00C545C2">
              <w:rPr>
                <w:color w:val="000000" w:themeColor="text1"/>
              </w:rPr>
              <w:lastRenderedPageBreak/>
              <w:t>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5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136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(п. 7.2 введен Законом Саратовской области от 28.11.2017 N 103-ЗСО)</w:t>
            </w: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Услуги фотоателье, фото- и кинолабораторий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384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7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 xml:space="preserve">Техническое обслуживание и ремонт автотранспортных и </w:t>
            </w:r>
            <w:proofErr w:type="spellStart"/>
            <w:r w:rsidRPr="00C545C2">
              <w:rPr>
                <w:color w:val="000000" w:themeColor="text1"/>
              </w:rPr>
              <w:t>мототранспортных</w:t>
            </w:r>
            <w:proofErr w:type="spellEnd"/>
            <w:r w:rsidRPr="00C545C2">
              <w:rPr>
                <w:color w:val="000000" w:themeColor="text1"/>
              </w:rPr>
              <w:t xml:space="preserve"> средств, машин и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14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Ремонт жилья и других построек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6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Производство штукатурных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 xml:space="preserve">с привлечением </w:t>
            </w:r>
            <w:r w:rsidRPr="00C545C2">
              <w:rPr>
                <w:color w:val="000000" w:themeColor="text1"/>
              </w:rPr>
              <w:lastRenderedPageBreak/>
              <w:t>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5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136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(п. 10.1 введен Законом Саратовской области от 28.11.2017 N 103-ЗСО)</w:t>
            </w: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Работы столярные и плотничные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5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136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(п. 10.2 введен Законом Саратовской области от 28.11.2017 N 103-ЗСО)</w:t>
            </w: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lastRenderedPageBreak/>
              <w:t>10.3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5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136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(п. 10.3 введен Законом Саратовской области от 28.11.2017 N 103-ЗСО)</w:t>
            </w: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5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136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(п. 10.4 введен Законом Саратовской области от 28.11.2017 N 103-ЗСО)</w:t>
            </w: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Работы по устройству покрытий полов и облицовке стен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5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136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lastRenderedPageBreak/>
              <w:t>(п. 10.5 введен Законом Саратовской области от 28.11.2017 N 103-ЗСО)</w:t>
            </w: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Производство малярных и стекольных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5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136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(п. 10.6 введен Законом Саратовской области от 28.11.2017 N 103-ЗСО)</w:t>
            </w: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Производство прочих отделочных и завершающих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5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136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(п. 10.7 введен Законом Саратовской области от 28.11.2017 N 103-ЗСО)</w:t>
            </w: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7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588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8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Услуги по обучению населения на курсах и по репетиторству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12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Услуги по присмотру и уходу за детьми и больными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Ветеринарные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9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bookmarkStart w:id="2" w:name="Par2233"/>
            <w:bookmarkEnd w:id="2"/>
            <w:r w:rsidRPr="00C545C2">
              <w:rPr>
                <w:color w:val="000000" w:themeColor="text1"/>
              </w:rPr>
              <w:t>17.1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 xml:space="preserve">Сдача в аренду собственного жилого недвижимого </w:t>
            </w:r>
            <w:r w:rsidRPr="00C545C2">
              <w:rPr>
                <w:color w:val="000000" w:themeColor="text1"/>
              </w:rPr>
              <w:lastRenderedPageBreak/>
              <w:t>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lastRenderedPageBreak/>
              <w:t xml:space="preserve">1,5 за один квадратный метр площади </w:t>
            </w:r>
            <w:r w:rsidRPr="00C545C2">
              <w:rPr>
                <w:color w:val="000000" w:themeColor="text1"/>
              </w:rPr>
              <w:lastRenderedPageBreak/>
              <w:t>по каждому обособленному объекту имущества, сдаваемого внаем &lt;*&gt;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lastRenderedPageBreak/>
              <w:t xml:space="preserve">1,2 за один квадратный метр площади </w:t>
            </w:r>
            <w:r w:rsidRPr="00C545C2">
              <w:rPr>
                <w:color w:val="000000" w:themeColor="text1"/>
              </w:rPr>
              <w:lastRenderedPageBreak/>
              <w:t>по каждому обособленному объекту имущества, сдаваемого внаем &lt;*&gt;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lastRenderedPageBreak/>
              <w:t xml:space="preserve">0,9 за один квадратный метр площади по каждому </w:t>
            </w:r>
            <w:r w:rsidRPr="00C545C2">
              <w:rPr>
                <w:color w:val="000000" w:themeColor="text1"/>
              </w:rPr>
              <w:lastRenderedPageBreak/>
              <w:t>обособленному объекту имущества, сдаваемого внаем &lt;*&gt;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lastRenderedPageBreak/>
              <w:t xml:space="preserve">0,8 за один квадратный метр площади по </w:t>
            </w:r>
            <w:r w:rsidRPr="00C545C2">
              <w:rPr>
                <w:color w:val="000000" w:themeColor="text1"/>
              </w:rPr>
              <w:lastRenderedPageBreak/>
              <w:t>каждому обособленному объекту имущества, сдаваемого внаем 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lastRenderedPageBreak/>
              <w:t xml:space="preserve">0,6 за один квадратный метр площади по </w:t>
            </w:r>
            <w:r w:rsidRPr="00C545C2">
              <w:rPr>
                <w:color w:val="000000" w:themeColor="text1"/>
              </w:rPr>
              <w:lastRenderedPageBreak/>
              <w:t>каждому обособленному объекту имущества, сдаваемого внаем &lt;*&gt;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bookmarkStart w:id="3" w:name="Par2241"/>
            <w:bookmarkEnd w:id="3"/>
            <w:r w:rsidRPr="00C545C2">
              <w:rPr>
                <w:color w:val="000000" w:themeColor="text1"/>
              </w:rPr>
              <w:lastRenderedPageBreak/>
              <w:t>17.2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Сдача в аренду собственного нежилого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5,5 за один квадратный метр площади по каждому обособленному объекту имущества, сдаваемого внаем &lt;*&gt;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4,4 за один квадратный метр площади по каждому обособленному объекту имущества, сдаваемого внаем &lt;*&gt;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3,3 за один квадратный метр площади по каждому обособленному объекту имущества, сдаваемого внаем &lt;*&gt;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2,75 за один квадратный метр площади по каждому обособленному объекту имущества, сдаваемого внаем 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2,2 за один квадратный метр площади по каждому обособленному объекту имущества, сдаваемого внаем &lt;*&gt;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Изготовление изделий народных художественных промыслов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C545C2">
              <w:rPr>
                <w:color w:val="000000" w:themeColor="text1"/>
              </w:rPr>
              <w:t>маслосемян</w:t>
            </w:r>
            <w:proofErr w:type="spellEnd"/>
            <w:r w:rsidRPr="00C545C2">
              <w:rPr>
                <w:color w:val="000000" w:themeColor="text1"/>
              </w:rPr>
              <w:t xml:space="preserve">, изготовлению и копчению колбас, переработке давальческой мытой шерсти на трикотажную пряжу, </w:t>
            </w:r>
            <w:r w:rsidRPr="00C545C2">
              <w:rPr>
                <w:color w:val="000000" w:themeColor="text1"/>
              </w:rPr>
              <w:lastRenderedPageBreak/>
              <w:t>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изготовление и ремонт деревянных лодок;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</w:t>
            </w:r>
          </w:p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 xml:space="preserve">картонажные работы; </w:t>
            </w:r>
            <w:r w:rsidRPr="00C545C2">
              <w:rPr>
                <w:color w:val="000000" w:themeColor="text1"/>
              </w:rPr>
              <w:lastRenderedPageBreak/>
              <w:t>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136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(п. 19 в ред. Закона Саратовской области от 28.11.2017 N 103-ЗСО)</w:t>
            </w: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Услуги по тепловой обработке и прочим способам переработки картофеля и продуктов из картофеля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136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(п. 19.1 введен Законом Саратовской области от 28.11.2017 N 103-ЗСО)</w:t>
            </w: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136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(п. 19.2 введен Законом Саратовской области от 28.11.2017 N 103-ЗСО)</w:t>
            </w: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Ремонт игрушек и подобных им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136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(п. 19.3 введен Законом Саратовской области от 28.11.2017 N 103-ЗСО)</w:t>
            </w: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Производство и реставрация ковров и ковровых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121,5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101,3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202,5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472,5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283,5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236,3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364,5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303,8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742,5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594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445,5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371,3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526,5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438,8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13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Ремонт ювелирных изделий, бижутерии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588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8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Чеканка и гравировка ювелирных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9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 xml:space="preserve">Монофоническая и </w:t>
            </w:r>
            <w:r w:rsidRPr="00C545C2">
              <w:rPr>
                <w:color w:val="000000" w:themeColor="text1"/>
              </w:rPr>
              <w:lastRenderedPageBreak/>
              <w:t>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Услуги по уборке жилых помещений и ведению домашнего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384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7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Проведение занятий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297,5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382,5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 xml:space="preserve">Услуги носильщиков на железнодорожных вокзалах, </w:t>
            </w:r>
            <w:r w:rsidRPr="00C545C2">
              <w:rPr>
                <w:color w:val="000000" w:themeColor="text1"/>
              </w:rPr>
              <w:lastRenderedPageBreak/>
              <w:t>автовокзалах, аэровокзалах, в аэропортах, морских, речных портах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Услуги платных туалетов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Услуги поваров по изготовлению блюд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121,5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101,3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202,5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472,5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283,5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236,3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364,5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303,8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742,5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594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445,5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371,3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526,5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438,8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13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121,5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101,3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202,5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472,5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283,5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236,3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364,5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303,8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742,5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594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445,5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371,3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526,5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438,8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13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Услуги по зеленому хозяйству и декоративному цветоводству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392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294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Ведение охотничьего хозяйства и осуществление охоты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14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392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294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Услуги по прокату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384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396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468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390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Экскурсионные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Обрядовые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Ритуальные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Услуги уличных патрулей, охранников, сторожей и вахтеров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bookmarkStart w:id="4" w:name="Par5206"/>
            <w:bookmarkEnd w:id="4"/>
            <w:r w:rsidRPr="00C545C2">
              <w:rPr>
                <w:color w:val="000000" w:themeColor="text1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48,0 за один квадратный метр площади по каждому обособленному объекту организации торговли &lt;**&gt;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38,4 за один квадратный метр площади по каждому обособленному объекту организации торговли &lt;**&gt;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28,8 за один квадратный метр площади по каждому обособленному объекту организации торговли &lt;**&gt;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24,0 за один квадратный метр площади по каждому обособленному объекту организации торговли &lt;**&gt;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19,2 за один квадратный метр площади по каждому обособленному объекту организации торговли &lt;**&gt;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 xml:space="preserve">Розничная торговля, </w:t>
            </w:r>
            <w:r w:rsidRPr="00C545C2">
              <w:rPr>
                <w:color w:val="000000" w:themeColor="text1"/>
              </w:rPr>
              <w:lastRenderedPageBreak/>
              <w:t>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14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количество обособленных объектов организации общественного питания: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4900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3920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2940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4620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3850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7840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5880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4900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3920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и более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297,5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382,5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Производство кожи и изделий из кожи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 xml:space="preserve">Сбор и заготовка пищевых лесных ресурсов, </w:t>
            </w:r>
            <w:proofErr w:type="spellStart"/>
            <w:r w:rsidRPr="00C545C2">
              <w:rPr>
                <w:color w:val="000000" w:themeColor="text1"/>
              </w:rPr>
              <w:t>недревесных</w:t>
            </w:r>
            <w:proofErr w:type="spellEnd"/>
            <w:r w:rsidRPr="00C545C2">
              <w:rPr>
                <w:color w:val="000000" w:themeColor="text1"/>
              </w:rPr>
              <w:t xml:space="preserve"> лесных ресурсов и лекарственных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Сушка, переработка и консервирование фруктов и овощей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Производство молочной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12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 xml:space="preserve">с привлечением наемных работников средней </w:t>
            </w:r>
            <w:r w:rsidRPr="00C545C2">
              <w:rPr>
                <w:color w:val="000000" w:themeColor="text1"/>
              </w:rPr>
              <w:lastRenderedPageBreak/>
              <w:t>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Производство хлебобулочных и мучных кондитерских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12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Товарное и спортивное рыболовство и рыбоводство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 xml:space="preserve">с привлечением наемных работников </w:t>
            </w:r>
            <w:r w:rsidRPr="00C545C2">
              <w:rPr>
                <w:color w:val="000000" w:themeColor="text1"/>
              </w:rPr>
              <w:lastRenderedPageBreak/>
              <w:t>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12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Лесоводство и прочая лесохозяйственная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12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Деятельность по письменному и устному переводу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12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Деятельность по уходу за престарелыми и 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297,5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382,5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Резка, обработка и отделка камня для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297,5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382,5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297,5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382,5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Ремонт компьютеров и коммуникационного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297,5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382,5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bookmarkStart w:id="5" w:name="Par7199"/>
            <w:bookmarkEnd w:id="5"/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грузоподъемность одной единицы транспортного средства: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до 3,5 тонн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 за каждую единицу транспортного средства &lt;***&gt;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свыше 3,5 тонн до 12 тонн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 за каждую единицу транспортного средства &lt;***&gt;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свыше 12 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 за каждую единицу транспортного средства &lt;***&gt;</w:t>
            </w: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bookmarkStart w:id="6" w:name="Par7235"/>
            <w:bookmarkEnd w:id="6"/>
            <w:r w:rsidRPr="00C545C2">
              <w:rPr>
                <w:color w:val="000000" w:themeColor="text1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 xml:space="preserve">Оказание автотранспортных услуг по перевозке </w:t>
            </w:r>
            <w:r w:rsidRPr="00C545C2">
              <w:rPr>
                <w:color w:val="000000" w:themeColor="text1"/>
              </w:rPr>
              <w:lastRenderedPageBreak/>
              <w:t>пассажиров автомобильным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количество посадочных мест, за исключением места для водителя, одной единицы транспортного средства: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до 8 мест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 за каждую единицу транспортного средства &lt;***&gt;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более 8 мест для транспортных средств грузоподъемностью до 5 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 за каждую единицу транспортного средства &lt;***&gt;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более 8 мест для транспортных средств грузоподъемностью свыше 5 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 за каждую единицу транспортного средства &lt;***&gt;</w:t>
            </w: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Оказание услуг по перевозке пассажиров водным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 xml:space="preserve">количество транспортных </w:t>
            </w:r>
            <w:r w:rsidRPr="00C545C2">
              <w:rPr>
                <w:color w:val="000000" w:themeColor="text1"/>
              </w:rPr>
              <w:lastRenderedPageBreak/>
              <w:t>средств: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и более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1250</w:t>
            </w: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Оказание услуг по перевозке грузов водным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количество транспортных средств: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2750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и более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3000</w:t>
            </w: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части развозной и разносной розничной торговли)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630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990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1170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1260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1440</w:t>
            </w:r>
          </w:p>
        </w:tc>
      </w:tr>
    </w:tbl>
    <w:p w:rsidR="00057BE5" w:rsidRPr="00C545C2" w:rsidRDefault="00057BE5">
      <w:pPr>
        <w:pStyle w:val="ConsPlusNormal"/>
        <w:jc w:val="both"/>
        <w:rPr>
          <w:color w:val="000000" w:themeColor="text1"/>
        </w:rPr>
        <w:sectPr w:rsidR="00057BE5" w:rsidRPr="00C545C2">
          <w:headerReference w:type="default" r:id="rId6"/>
          <w:footerReference w:type="default" r:id="rId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57BE5" w:rsidRPr="00C545C2" w:rsidRDefault="00057BE5">
      <w:pPr>
        <w:pStyle w:val="ConsPlusNormal"/>
        <w:jc w:val="both"/>
        <w:rPr>
          <w:color w:val="000000" w:themeColor="text1"/>
        </w:rPr>
      </w:pPr>
    </w:p>
    <w:p w:rsidR="00057BE5" w:rsidRPr="00C545C2" w:rsidRDefault="00057BE5">
      <w:pPr>
        <w:pStyle w:val="ConsPlusNormal"/>
        <w:ind w:firstLine="540"/>
        <w:jc w:val="both"/>
        <w:rPr>
          <w:color w:val="000000" w:themeColor="text1"/>
        </w:rPr>
      </w:pPr>
      <w:r w:rsidRPr="00C545C2">
        <w:rPr>
          <w:color w:val="000000" w:themeColor="text1"/>
        </w:rPr>
        <w:t>--------------------------------</w:t>
      </w:r>
    </w:p>
    <w:p w:rsidR="00057BE5" w:rsidRPr="00C545C2" w:rsidRDefault="00057BE5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7" w:name="Par7549"/>
      <w:bookmarkEnd w:id="7"/>
      <w:r w:rsidRPr="00C545C2">
        <w:rPr>
          <w:color w:val="000000" w:themeColor="text1"/>
        </w:rPr>
        <w:t>&lt;*&gt; Максимальный размер потенциально возможного к получению индивидуальным предпринимателем годового дохода по видам предпринимательской деятельности, указанным в подпунктах 17.1 и 17.2 пункта 17, не может превышать 10 миллионов рублей.</w:t>
      </w:r>
    </w:p>
    <w:p w:rsidR="00057BE5" w:rsidRPr="00C545C2" w:rsidRDefault="00057BE5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8" w:name="Par7550"/>
      <w:bookmarkEnd w:id="8"/>
      <w:r w:rsidRPr="00C545C2">
        <w:rPr>
          <w:color w:val="000000" w:themeColor="text1"/>
        </w:rPr>
        <w:t>&lt;**&gt; Максимальный размер потенциально возможного к получению индивидуальным предпринимателем годового дохода по виду предпринимательской деятельности, указанному в пункте 41, не может превышать 10 миллионов рублей.</w:t>
      </w:r>
    </w:p>
    <w:p w:rsidR="00057BE5" w:rsidRPr="00C545C2" w:rsidRDefault="00057BE5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9" w:name="Par7551"/>
      <w:bookmarkEnd w:id="9"/>
      <w:r w:rsidRPr="00C545C2">
        <w:rPr>
          <w:color w:val="000000" w:themeColor="text1"/>
        </w:rPr>
        <w:t>&lt;***&gt; Максимальный размер потенциально возможного к получению индивидуальным предпринимателем годового дохода по видам предпринимательской деятельности, указанным в пунктах 60 и 61, не может превышать 3 миллионов рублей.</w:t>
      </w:r>
    </w:p>
    <w:p w:rsidR="00057BE5" w:rsidRPr="00C545C2" w:rsidRDefault="00057BE5">
      <w:pPr>
        <w:pStyle w:val="ConsPlusNormal"/>
        <w:jc w:val="both"/>
        <w:rPr>
          <w:color w:val="000000" w:themeColor="text1"/>
        </w:rPr>
      </w:pPr>
    </w:p>
    <w:p w:rsidR="00057BE5" w:rsidRPr="00C545C2" w:rsidRDefault="00057BE5">
      <w:pPr>
        <w:pStyle w:val="ConsPlusNormal"/>
        <w:jc w:val="both"/>
        <w:rPr>
          <w:color w:val="000000" w:themeColor="text1"/>
        </w:rPr>
      </w:pPr>
    </w:p>
    <w:p w:rsidR="00057BE5" w:rsidRPr="00C545C2" w:rsidRDefault="00057BE5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57BE5" w:rsidRPr="00C545C2" w:rsidRDefault="00057BE5">
      <w:pPr>
        <w:pStyle w:val="ConsPlusNormal"/>
        <w:rPr>
          <w:color w:val="000000" w:themeColor="text1"/>
          <w:sz w:val="16"/>
          <w:szCs w:val="16"/>
        </w:rPr>
      </w:pPr>
    </w:p>
    <w:sectPr w:rsidR="00057BE5" w:rsidRPr="00C545C2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3E6" w:rsidRDefault="004B23E6">
      <w:pPr>
        <w:spacing w:after="0" w:line="240" w:lineRule="auto"/>
      </w:pPr>
      <w:r>
        <w:separator/>
      </w:r>
    </w:p>
  </w:endnote>
  <w:endnote w:type="continuationSeparator" w:id="0">
    <w:p w:rsidR="004B23E6" w:rsidRDefault="004B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E5" w:rsidRDefault="00057B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57BE5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7BE5" w:rsidRDefault="00057BE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7BE5" w:rsidRDefault="00057BE5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7BE5" w:rsidRDefault="00057BE5">
          <w:pPr>
            <w:pStyle w:val="ConsPlusNormal"/>
            <w:jc w:val="right"/>
          </w:pPr>
        </w:p>
      </w:tc>
    </w:tr>
  </w:tbl>
  <w:p w:rsidR="00057BE5" w:rsidRDefault="00057BE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E5" w:rsidRDefault="00057B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57BE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7BE5" w:rsidRPr="00EF30F1" w:rsidRDefault="00057BE5">
          <w:pPr>
            <w:pStyle w:val="ConsPlusNormal"/>
            <w:rPr>
              <w:b/>
              <w:bCs/>
              <w:color w:val="333399"/>
              <w:sz w:val="28"/>
              <w:szCs w:val="28"/>
              <w:lang w:val="en-US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7BE5" w:rsidRDefault="00057BE5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7BE5" w:rsidRDefault="00057BE5">
          <w:pPr>
            <w:pStyle w:val="ConsPlusNormal"/>
            <w:jc w:val="right"/>
          </w:pPr>
        </w:p>
      </w:tc>
    </w:tr>
  </w:tbl>
  <w:p w:rsidR="00057BE5" w:rsidRDefault="00057BE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3E6" w:rsidRDefault="004B23E6">
      <w:pPr>
        <w:spacing w:after="0" w:line="240" w:lineRule="auto"/>
      </w:pPr>
      <w:r>
        <w:separator/>
      </w:r>
    </w:p>
  </w:footnote>
  <w:footnote w:type="continuationSeparator" w:id="0">
    <w:p w:rsidR="004B23E6" w:rsidRDefault="004B2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57BE5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7BE5" w:rsidRDefault="00057BE5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7BE5" w:rsidRDefault="00057BE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7BE5" w:rsidRDefault="00057BE5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57BE5" w:rsidRDefault="00057B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57BE5" w:rsidRDefault="00057BE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57BE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7BE5" w:rsidRDefault="00057BE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Саратовской области от 13.11.2012 N 167-ЗСО</w:t>
          </w:r>
          <w:r>
            <w:rPr>
              <w:sz w:val="16"/>
              <w:szCs w:val="16"/>
            </w:rPr>
            <w:br/>
            <w:t>(ред. от 28.11.2017)</w:t>
          </w:r>
          <w:r>
            <w:rPr>
              <w:sz w:val="16"/>
              <w:szCs w:val="16"/>
            </w:rPr>
            <w:br/>
            <w:t>"О введении на территории Саратовской области пат...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7BE5" w:rsidRDefault="00057BE5">
          <w:pPr>
            <w:pStyle w:val="ConsPlusNormal"/>
            <w:jc w:val="center"/>
            <w:rPr>
              <w:sz w:val="24"/>
              <w:szCs w:val="24"/>
            </w:rPr>
          </w:pPr>
        </w:p>
        <w:p w:rsidR="00057BE5" w:rsidRDefault="00057BE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7BE5" w:rsidRDefault="00057BE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11.12.2017</w:t>
          </w:r>
        </w:p>
      </w:tc>
    </w:tr>
  </w:tbl>
  <w:p w:rsidR="00057BE5" w:rsidRDefault="00057B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57BE5" w:rsidRDefault="00057BE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A42"/>
    <w:rsid w:val="00057BE5"/>
    <w:rsid w:val="001670F6"/>
    <w:rsid w:val="00462C96"/>
    <w:rsid w:val="004B23E6"/>
    <w:rsid w:val="00503918"/>
    <w:rsid w:val="009D4FDF"/>
    <w:rsid w:val="00A4208B"/>
    <w:rsid w:val="00B96A42"/>
    <w:rsid w:val="00C545C2"/>
    <w:rsid w:val="00E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62C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C9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62C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62C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75</Pages>
  <Words>7517</Words>
  <Characters>42851</Characters>
  <Application>Microsoft Office Word</Application>
  <DocSecurity>2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Саратовской области от 13.11.2012 N 167-ЗСО(ред. от 28.11.2017)"О введении на территории Саратовской области патентной системы налогообложения"(принят Саратовской областной Думой 07.11.2012)</vt:lpstr>
    </vt:vector>
  </TitlesOfParts>
  <Company>КонсультантПлюс Версия 4017.00.22</Company>
  <LinksUpToDate>false</LinksUpToDate>
  <CharactersWithSpaces>50268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Саратовской области от 13.11.2012 N 167-ЗСО(ред. от 28.11.2017)"О введении на территории Саратовской области патентной системы налогообложения"(принят Саратовской областной Думой 07.11.2012)</dc:title>
  <dc:subject/>
  <dc:creator>Илюхина Татьяна Ивановна</dc:creator>
  <cp:keywords/>
  <dc:description/>
  <cp:lastModifiedBy>(6400-00-883) Бондаренко Джамиля Алим кызы</cp:lastModifiedBy>
  <cp:revision>3</cp:revision>
  <dcterms:created xsi:type="dcterms:W3CDTF">2017-12-15T12:37:00Z</dcterms:created>
  <dcterms:modified xsi:type="dcterms:W3CDTF">2017-12-15T12:38:00Z</dcterms:modified>
</cp:coreProperties>
</file>