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  <w:tblCellMar>
          <w:top w:w="60" w:type="dxa"/>
          <w:left w:w="80" w:type="dxa"/>
          <w:bottom w:w="60" w:type="dxa"/>
          <w:right w:w="80" w:type="dxa"/>
        </w:tblCellMar>
      </w:tblPr>
      <w:tblGrid>
        <w:gridCol w:w="5000" w:type="pct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>
                  <wp:extent cx="3810000" cy="904875"/>
                  <wp:docPr id="1" name="Консультант Плюс"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ЕАО от 23.04.2020 N 544-ОЗ</w:t>
              <w:br/>
              <w:t xml:space="preserve">"О внесении изменений в статью 2 закона ЕАО "О налоге на имущество организаций"</w:t>
              <w:br/>
              <w:t xml:space="preserve">(принят ЗС ЕАО от 23.04.2020)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19.05.2020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000" w:type="pct"/>
        <w:gridCol w:w="5000" w:type="pct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апреля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544-ОЗ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СТАТЬЮ 2 ЗАКОНА ЕАО</w:t>
      </w:r>
    </w:p>
    <w:p>
      <w:pPr>
        <w:pStyle w:val="2"/>
        <w:jc w:val="center"/>
      </w:pPr>
      <w:r>
        <w:rPr>
          <w:sz w:val="20"/>
        </w:rPr>
        <w:t xml:space="preserve">"О НАЛОГЕ НА ИМУЩЕСТВО ОРГАНИЗАЦИЙ"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ЕАО</w:t>
      </w:r>
    </w:p>
    <w:p>
      <w:pPr>
        <w:pStyle w:val="0"/>
        <w:jc w:val="right"/>
      </w:pPr>
      <w:r>
        <w:rPr>
          <w:sz w:val="20"/>
        </w:rPr>
        <w:t xml:space="preserve">23 апреля 2020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Еврейской автономной области от 26.07.2006 N 737-ОЗ "О налоге на имущество организаций" (с изменениями от 30.05.2007 N 148-ОЗ, от 27.06.2007 N 165-ОЗ, от 20.07.2007 N 188-ОЗ, от 07.11.2007 N 255-ОЗ, от 14.12.2007 N 292-ОЗ, от 31.03.2008 N 339-ОЗ, от 18.09.2008 N 437-ОЗ, от 17.12.2008 N 491-ОЗ, от 10.06.2009 N 564-ОЗ, от 07.10.2009 N 616-ОЗ, от 18.07.2012 N 125-ОЗ, от 19.12.2013 N 427-ОЗ, от 24.04.2015 N 693-ОЗ, от 28.10.2015 N 793-ОЗ, от 30.06.2016 N 934-ОЗ, от 19.07.2016 N 956-ОЗ, от 28.10.2016 N 14-ОЗ, от 24.11.2016 N 15-ОЗ, от 26.01.2017 N 78-ОЗ, от 13.07.2017 N 132-ОЗ, от 30.11.2017 N 194-ОЗ, от 20.12.2017 N 196-ОЗ, от 21.02.2018 N 228-ОЗ, от 20.07.2018 N 282-ОЗ, от 25.10.2018 N 312-ОЗ, от 01.11.2019 N 467-ОЗ, от 05.12.2019 N 494-ОЗ)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1.1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"1.1. Установить на 2020 год ставку налога на имущество организаций в размере 1,1 процента для организаций, осуществляющих деятельность в отраслях экономики, указанных в </w:t>
      </w:r>
      <w:hyperlink w:history="0" r:id="rId9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отраслей экономики (видов экономической деятельности), оказавшихся в зоне риска в связи с распространением на территории Еврейской автономной области новой коронавирусной инфекции (2019-nCoV), утвержденном губернатором области.";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7.1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"7.1. Установить на 2020 год ставку налога на объекты недвижимого имущества, налоговая база в отношении которых определяется как кадастровая стоимость, указанные в пунктах 1, 3 статьи 1.1 настоящего закона, в размере 1 процента.".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 и распространяется на правоотношения, возникшие с 1 января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 области</w:t>
      </w:r>
    </w:p>
    <w:p>
      <w:pPr>
        <w:pStyle w:val="0"/>
        <w:jc w:val="right"/>
      </w:pPr>
      <w:r>
        <w:rPr>
          <w:sz w:val="20"/>
        </w:rPr>
        <w:t xml:space="preserve">Р.Э.ГОЛЬДШТЕЙН</w:t>
      </w:r>
    </w:p>
    <w:p>
      <w:pPr>
        <w:pStyle w:val="0"/>
      </w:pPr>
      <w:r>
        <w:rPr>
          <w:sz w:val="20"/>
        </w:rPr>
        <w:t xml:space="preserve">г. Биробиджан</w:t>
      </w:r>
    </w:p>
    <w:p>
      <w:pPr>
        <w:pStyle w:val="0"/>
        <w:spacing w:before="200" w:line-rule="auto"/>
      </w:pPr>
      <w:r>
        <w:rPr>
          <w:sz w:val="20"/>
        </w:rPr>
        <w:t xml:space="preserve">23 апреля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544-ОЗ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odd" r:id="rId5"/>
      <w:headerReference w:type="first" r:id="rId5"/>
      <w:footerReference w:type="odd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100.0%" w:type="pct"/>
      <w:tblInd w:w="0" w:type="dxa"/>
      <w:tblLayout w:type="fixed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34.0%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32.0%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34.0%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ЕАО от 23.04.2020 N 544-ОЗ</w:t>
            <w:br/>
            <w:t>"О внесении изменений в статью 2 закона ЕАО "О налоге на имущество организаций"</w:t>
            <w:br/>
            <w:t>(принят...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19.05.2020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://www.consultant.ru" TargetMode = "External"/>
	<Relationship Id="rId4" Type="http://purl.oclc.org/ooxml/officeDocument/relationships/hyperlink" Target="http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F28AAD97D9A0607087496352D6B01AE8E4DDECAFF99798FDEC231038A7CA359F80F89FF4C356A515E1072399DDCFBCEE82D14FD743208439DE3D82c1vAG" TargetMode = "External"/>
	<Relationship Id="rId8" Type="http://purl.oclc.org/ooxml/officeDocument/relationships/hyperlink" Target="consultantplus://offline/ref=F28AAD97D9A0607087496352D6B01AE8E4DDECAFF99798FDEC231038A7CA359F80F89FF4C356A515E1072399DDCFBCEE82D14FD743208439DE3D82c1vAG" TargetMode = "External"/>
	<Relationship Id="rId9" Type="http://purl.oclc.org/ooxml/officeDocument/relationships/hyperlink" Target="consultantplus://offline/ref=F28AAD97D9A0607087496352D6B01AE8E4DDECAFF9939BFAEE231038A7CA359F80F89FF4C356A515E1072290DDCFBCEE82D14FD743208439DE3D82c1vAG" TargetMode = "External"/>
	<Relationship Id="rId10" Type="http://purl.oclc.org/ooxml/officeDocument/relationships/hyperlink" Target="consultantplus://offline/ref=F28AAD97D9A0607087496352D6B01AE8E4DDECAFF99798FDEC231038A7CA359F80F89FF4C356A515E1072399DDCFBCEE82D14FD743208439DE3D82c1v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4019.00.23</Application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ЕАО от 23.04.2020 N 544-ОЗ
"О внесении изменений в статью 2 закона ЕАО "О налоге на имущество организаций"
(принят ЗС ЕАО от 23.04.2020)</dc:title>
  <dcterms:created xsi:type="dcterms:W3CDTF">2020-05-19T06:47:28Z</dcterms:created>
</cp:coreProperties>
</file>