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3C3F32">
      <w:pPr>
        <w:pStyle w:val="ConsPlusNormal"/>
        <w:jc w:val="right"/>
        <w:outlineLvl w:val="0"/>
      </w:pPr>
      <w:r>
        <w:t>П</w:t>
      </w:r>
      <w:r w:rsidR="0023338F">
        <w:t>риложение 1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0" w:name="P216"/>
      <w:bookmarkEnd w:id="0"/>
      <w:r>
        <w:t>НАЛОГОВЫЕ СТАВКИ ПО ТРАНСПОРТНОМУ НАЛОГУ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05.06.2017 N 40-ОЗ)</w:t>
            </w:r>
          </w:p>
        </w:tc>
      </w:tr>
    </w:tbl>
    <w:p w:rsidR="0023338F" w:rsidRDefault="002333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946"/>
        <w:gridCol w:w="1531"/>
      </w:tblGrid>
      <w:tr w:rsidR="0023338F">
        <w:tc>
          <w:tcPr>
            <w:tcW w:w="595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531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3338F" w:rsidRDefault="0023338F">
            <w:pPr>
              <w:pStyle w:val="ConsPlusNormal"/>
              <w:jc w:val="center"/>
            </w:pPr>
            <w:r>
              <w:t>3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14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30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60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8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16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26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34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20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80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477" w:type="dxa"/>
            <w:gridSpan w:val="2"/>
          </w:tcPr>
          <w:p w:rsidR="0023338F" w:rsidRDefault="0023338F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50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100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50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</w:t>
            </w:r>
          </w:p>
        </w:tc>
      </w:tr>
      <w:tr w:rsidR="0023338F">
        <w:tc>
          <w:tcPr>
            <w:tcW w:w="595" w:type="dxa"/>
          </w:tcPr>
          <w:p w:rsidR="0023338F" w:rsidRDefault="0023338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946" w:type="dxa"/>
          </w:tcPr>
          <w:p w:rsidR="0023338F" w:rsidRDefault="0023338F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531" w:type="dxa"/>
            <w:vAlign w:val="bottom"/>
          </w:tcPr>
          <w:p w:rsidR="0023338F" w:rsidRDefault="0023338F">
            <w:pPr>
              <w:pStyle w:val="ConsPlusNormal"/>
              <w:jc w:val="center"/>
            </w:pPr>
            <w:r>
              <w:t>400</w:t>
            </w:r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  <w:bookmarkStart w:id="1" w:name="_GoBack"/>
      <w:bookmarkEnd w:id="1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3C3F32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A0D9BB077C8879A65FDF78EC8B7E2AFBB1413582021935AF7050E3951A6D7BDA42543600D889EEF1DDDAq1o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2018-09-27T03:04:00Z</dcterms:created>
  <dcterms:modified xsi:type="dcterms:W3CDTF">2018-09-27T03:04:00Z</dcterms:modified>
</cp:coreProperties>
</file>