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D3" w:rsidRDefault="007D35D3">
      <w:pPr>
        <w:pStyle w:val="ConsPlusNormal"/>
        <w:outlineLvl w:val="0"/>
      </w:pPr>
    </w:p>
    <w:p w:rsidR="007D35D3" w:rsidRDefault="007D35D3">
      <w:pPr>
        <w:pStyle w:val="ConsPlusTitle"/>
        <w:jc w:val="center"/>
      </w:pPr>
      <w:bookmarkStart w:id="0" w:name="_GoBack"/>
      <w:bookmarkEnd w:id="0"/>
      <w:r>
        <w:t>ЗАКОН ГОРОДА СЕВАСТОПОЛЯ</w:t>
      </w:r>
    </w:p>
    <w:p w:rsidR="007D35D3" w:rsidRDefault="007D35D3">
      <w:pPr>
        <w:pStyle w:val="ConsPlusTitle"/>
        <w:jc w:val="center"/>
      </w:pPr>
    </w:p>
    <w:p w:rsidR="007D35D3" w:rsidRDefault="007D35D3">
      <w:pPr>
        <w:pStyle w:val="ConsPlusTitle"/>
        <w:jc w:val="center"/>
      </w:pPr>
      <w:r>
        <w:t>О ВВЕДЕНИИ НА ТЕРРИТОРИИ ГОРОДА ФЕДЕРАЛЬНОГО ЗНАЧЕНИЯ</w:t>
      </w:r>
    </w:p>
    <w:p w:rsidR="007D35D3" w:rsidRDefault="007D35D3">
      <w:pPr>
        <w:pStyle w:val="ConsPlusTitle"/>
        <w:jc w:val="center"/>
      </w:pPr>
      <w:r>
        <w:t>СЕВАСТОПОЛЯ СИСТЕМЫ НАЛОГООБЛОЖЕНИЯ В ВИДЕ ЕДИНОГО НАЛОГА</w:t>
      </w:r>
    </w:p>
    <w:p w:rsidR="007D35D3" w:rsidRDefault="007D35D3">
      <w:pPr>
        <w:pStyle w:val="ConsPlusTitle"/>
        <w:jc w:val="center"/>
      </w:pPr>
      <w:r>
        <w:t>НА ВМЕНЕННЫЙ ДОХОД ДЛЯ ОТДЕЛЬНЫХ ВИДОВ ДЕЯТЕЛЬНОСТИ</w:t>
      </w:r>
    </w:p>
    <w:p w:rsidR="007D35D3" w:rsidRDefault="007D35D3">
      <w:pPr>
        <w:pStyle w:val="ConsPlusNormal"/>
        <w:jc w:val="center"/>
      </w:pPr>
    </w:p>
    <w:p w:rsidR="007D35D3" w:rsidRDefault="007D35D3">
      <w:pPr>
        <w:pStyle w:val="ConsPlusNormal"/>
        <w:jc w:val="right"/>
      </w:pPr>
      <w:r>
        <w:t>Принят</w:t>
      </w:r>
    </w:p>
    <w:p w:rsidR="007D35D3" w:rsidRDefault="007D35D3">
      <w:pPr>
        <w:pStyle w:val="ConsPlusNormal"/>
        <w:jc w:val="right"/>
      </w:pPr>
      <w:r>
        <w:t>Законодательным Собранием</w:t>
      </w:r>
    </w:p>
    <w:p w:rsidR="007D35D3" w:rsidRDefault="007D35D3">
      <w:pPr>
        <w:pStyle w:val="ConsPlusNormal"/>
        <w:jc w:val="right"/>
      </w:pPr>
      <w:r>
        <w:t>города Севастополя</w:t>
      </w:r>
    </w:p>
    <w:p w:rsidR="007D35D3" w:rsidRDefault="007D35D3">
      <w:pPr>
        <w:pStyle w:val="ConsPlusNormal"/>
        <w:jc w:val="right"/>
      </w:pPr>
      <w:r>
        <w:t>25 ноября 2014 года</w:t>
      </w:r>
    </w:p>
    <w:p w:rsidR="007D35D3" w:rsidRDefault="007D3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5D3">
        <w:trPr>
          <w:jc w:val="center"/>
        </w:trPr>
        <w:tc>
          <w:tcPr>
            <w:tcW w:w="9294" w:type="dxa"/>
            <w:tcBorders>
              <w:top w:val="nil"/>
              <w:left w:val="single" w:sz="24" w:space="0" w:color="CED3F1"/>
              <w:bottom w:val="nil"/>
              <w:right w:val="single" w:sz="24" w:space="0" w:color="F4F3F8"/>
            </w:tcBorders>
            <w:shd w:val="clear" w:color="auto" w:fill="F4F3F8"/>
          </w:tcPr>
          <w:p w:rsidR="007D35D3" w:rsidRDefault="007D35D3">
            <w:pPr>
              <w:pStyle w:val="ConsPlusNormal"/>
              <w:jc w:val="center"/>
            </w:pPr>
            <w:r>
              <w:rPr>
                <w:color w:val="392C69"/>
              </w:rPr>
              <w:t>Список изменяющих документов</w:t>
            </w:r>
          </w:p>
          <w:p w:rsidR="007D35D3" w:rsidRDefault="007D35D3">
            <w:pPr>
              <w:pStyle w:val="ConsPlusNormal"/>
              <w:jc w:val="center"/>
            </w:pPr>
            <w:r>
              <w:rPr>
                <w:color w:val="392C69"/>
              </w:rPr>
              <w:t xml:space="preserve">(в ред. </w:t>
            </w:r>
            <w:hyperlink r:id="rId4" w:history="1">
              <w:r>
                <w:rPr>
                  <w:color w:val="0000FF"/>
                </w:rPr>
                <w:t>Закона</w:t>
              </w:r>
            </w:hyperlink>
            <w:r>
              <w:rPr>
                <w:color w:val="392C69"/>
              </w:rPr>
              <w:t xml:space="preserve"> города Севастополя от 03.11.2016 N 290-ЗС)</w:t>
            </w:r>
          </w:p>
        </w:tc>
      </w:tr>
    </w:tbl>
    <w:p w:rsidR="007D35D3" w:rsidRDefault="007D35D3">
      <w:pPr>
        <w:pStyle w:val="ConsPlusNormal"/>
        <w:jc w:val="center"/>
      </w:pPr>
    </w:p>
    <w:p w:rsidR="007D35D3" w:rsidRDefault="007D35D3">
      <w:pPr>
        <w:pStyle w:val="ConsPlusTitle"/>
        <w:ind w:firstLine="540"/>
        <w:jc w:val="both"/>
        <w:outlineLvl w:val="0"/>
      </w:pPr>
      <w:r>
        <w:t>Статья 1. Общие положения</w:t>
      </w:r>
    </w:p>
    <w:p w:rsidR="007D35D3" w:rsidRDefault="007D35D3">
      <w:pPr>
        <w:pStyle w:val="ConsPlusNormal"/>
        <w:ind w:firstLine="540"/>
        <w:jc w:val="both"/>
      </w:pPr>
    </w:p>
    <w:p w:rsidR="007D35D3" w:rsidRDefault="007D35D3">
      <w:pPr>
        <w:pStyle w:val="ConsPlusNormal"/>
        <w:ind w:firstLine="540"/>
        <w:jc w:val="both"/>
      </w:pPr>
      <w:r>
        <w:t xml:space="preserve">Настоящим Законом в соответствии с </w:t>
      </w:r>
      <w:hyperlink r:id="rId5" w:history="1">
        <w:r>
          <w:rPr>
            <w:color w:val="0000FF"/>
          </w:rPr>
          <w:t>главой 26.3</w:t>
        </w:r>
      </w:hyperlink>
      <w:r>
        <w:t xml:space="preserve"> Налогового кодекса Российской Федерации на территории города федерального значения Севастополя вводится система налогообложения в виде единого налога на вмененный доход для отдельных видов деятельности (далее - ЕНВД).</w:t>
      </w:r>
    </w:p>
    <w:p w:rsidR="007D35D3" w:rsidRDefault="007D35D3">
      <w:pPr>
        <w:pStyle w:val="ConsPlusNormal"/>
        <w:spacing w:before="220"/>
        <w:ind w:firstLine="540"/>
        <w:jc w:val="both"/>
      </w:pPr>
      <w:r>
        <w:t>Виды предпринимательской деятельности, в отношении которых вводится система налогообложения в виде ЕНВД:</w:t>
      </w:r>
    </w:p>
    <w:p w:rsidR="007D35D3" w:rsidRDefault="007D35D3">
      <w:pPr>
        <w:pStyle w:val="ConsPlusNormal"/>
        <w:spacing w:before="220"/>
        <w:ind w:firstLine="540"/>
        <w:jc w:val="both"/>
      </w:pPr>
      <w:r>
        <w:t>1) оказания бытовых услуг;</w:t>
      </w:r>
    </w:p>
    <w:p w:rsidR="007D35D3" w:rsidRDefault="007D35D3">
      <w:pPr>
        <w:pStyle w:val="ConsPlusNormal"/>
        <w:jc w:val="both"/>
      </w:pPr>
      <w:r>
        <w:t xml:space="preserve">(п. 1 в ред. </w:t>
      </w:r>
      <w:hyperlink r:id="rId6" w:history="1">
        <w:r>
          <w:rPr>
            <w:color w:val="0000FF"/>
          </w:rPr>
          <w:t>Закона</w:t>
        </w:r>
      </w:hyperlink>
      <w:r>
        <w:t xml:space="preserve"> города Севастополя от 03.11.2016 N 290-ЗС)</w:t>
      </w:r>
    </w:p>
    <w:p w:rsidR="007D35D3" w:rsidRDefault="007D35D3">
      <w:pPr>
        <w:pStyle w:val="ConsPlusNormal"/>
        <w:spacing w:before="220"/>
        <w:ind w:firstLine="540"/>
        <w:jc w:val="both"/>
      </w:pPr>
      <w:r>
        <w:t>2) оказания ветеринарных услуг;</w:t>
      </w:r>
    </w:p>
    <w:p w:rsidR="007D35D3" w:rsidRDefault="007D35D3">
      <w:pPr>
        <w:pStyle w:val="ConsPlusNormal"/>
        <w:spacing w:before="220"/>
        <w:ind w:firstLine="540"/>
        <w:jc w:val="both"/>
      </w:pPr>
      <w:r>
        <w:t>3) оказания услуг по ремонту, техническому обслуживанию и мойке автомототранспортных средств;</w:t>
      </w:r>
    </w:p>
    <w:p w:rsidR="007D35D3" w:rsidRDefault="007D35D3">
      <w:pPr>
        <w:pStyle w:val="ConsPlusNormal"/>
        <w:spacing w:before="220"/>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7D35D3" w:rsidRDefault="007D35D3">
      <w:pPr>
        <w:pStyle w:val="ConsPlusNormal"/>
        <w:spacing w:before="220"/>
        <w:ind w:firstLine="540"/>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D35D3" w:rsidRDefault="007D35D3">
      <w:pPr>
        <w:pStyle w:val="ConsPlusNormal"/>
        <w:spacing w:before="220"/>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7D35D3" w:rsidRDefault="007D35D3">
      <w:pPr>
        <w:pStyle w:val="ConsPlusNormal"/>
        <w:spacing w:before="220"/>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7D35D3" w:rsidRDefault="007D35D3">
      <w:pPr>
        <w:pStyle w:val="ConsPlusNormal"/>
        <w:spacing w:before="220"/>
        <w:ind w:firstLine="540"/>
        <w:jc w:val="both"/>
      </w:pPr>
      <w: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7D35D3" w:rsidRDefault="007D35D3">
      <w:pPr>
        <w:pStyle w:val="ConsPlusNormal"/>
        <w:spacing w:before="220"/>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7D35D3" w:rsidRDefault="007D35D3">
      <w:pPr>
        <w:pStyle w:val="ConsPlusNormal"/>
        <w:spacing w:before="220"/>
        <w:ind w:firstLine="540"/>
        <w:jc w:val="both"/>
      </w:pPr>
      <w:r>
        <w:t>10) распространения наружной рекламы с использованием рекламных конструкций;</w:t>
      </w:r>
    </w:p>
    <w:p w:rsidR="007D35D3" w:rsidRDefault="007D35D3">
      <w:pPr>
        <w:pStyle w:val="ConsPlusNormal"/>
        <w:spacing w:before="220"/>
        <w:ind w:firstLine="540"/>
        <w:jc w:val="both"/>
      </w:pPr>
      <w:r>
        <w:lastRenderedPageBreak/>
        <w:t>11) размещения рекламы с использованием внешних и внутренних поверхностей транспортных средств;</w:t>
      </w:r>
    </w:p>
    <w:p w:rsidR="007D35D3" w:rsidRDefault="007D35D3">
      <w:pPr>
        <w:pStyle w:val="ConsPlusNormal"/>
        <w:spacing w:before="220"/>
        <w:ind w:firstLine="540"/>
        <w:jc w:val="both"/>
      </w:pPr>
      <w: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D35D3" w:rsidRDefault="007D35D3">
      <w:pPr>
        <w:pStyle w:val="ConsPlusNormal"/>
        <w:ind w:firstLine="540"/>
        <w:jc w:val="both"/>
      </w:pPr>
    </w:p>
    <w:p w:rsidR="007D35D3" w:rsidRDefault="007D35D3">
      <w:pPr>
        <w:pStyle w:val="ConsPlusTitle"/>
        <w:ind w:firstLine="540"/>
        <w:jc w:val="both"/>
        <w:outlineLvl w:val="0"/>
      </w:pPr>
      <w:r>
        <w:t>Статья 2. Значения корректирующих коэффициентов базовой доходности</w:t>
      </w:r>
    </w:p>
    <w:p w:rsidR="007D35D3" w:rsidRDefault="007D35D3">
      <w:pPr>
        <w:pStyle w:val="ConsPlusNormal"/>
        <w:ind w:firstLine="540"/>
        <w:jc w:val="both"/>
      </w:pPr>
    </w:p>
    <w:p w:rsidR="007D35D3" w:rsidRDefault="007D35D3">
      <w:pPr>
        <w:pStyle w:val="ConsPlusNormal"/>
        <w:ind w:firstLine="540"/>
        <w:jc w:val="both"/>
      </w:pPr>
      <w:r>
        <w:t>1. Установить на территории города федерального значения Севастополя следующие значения корректирующих коэффициентов базовой доходности К2, учитывающие совокупность особенностей ведения предпринимательской деятельности:</w:t>
      </w:r>
    </w:p>
    <w:p w:rsidR="007D35D3" w:rsidRDefault="007D35D3">
      <w:pPr>
        <w:pStyle w:val="ConsPlusNormal"/>
        <w:ind w:firstLine="540"/>
        <w:jc w:val="both"/>
      </w:pPr>
    </w:p>
    <w:p w:rsidR="007D35D3" w:rsidRDefault="007D35D3">
      <w:pPr>
        <w:sectPr w:rsidR="007D35D3" w:rsidSect="001517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2140"/>
        <w:gridCol w:w="1699"/>
        <w:gridCol w:w="2269"/>
        <w:gridCol w:w="1134"/>
      </w:tblGrid>
      <w:tr w:rsidR="007D35D3">
        <w:tc>
          <w:tcPr>
            <w:tcW w:w="737" w:type="dxa"/>
          </w:tcPr>
          <w:p w:rsidR="007D35D3" w:rsidRDefault="007D35D3">
            <w:pPr>
              <w:pStyle w:val="ConsPlusNormal"/>
              <w:jc w:val="center"/>
            </w:pPr>
            <w:r>
              <w:lastRenderedPageBreak/>
              <w:t>N п/п</w:t>
            </w:r>
          </w:p>
        </w:tc>
        <w:tc>
          <w:tcPr>
            <w:tcW w:w="3061" w:type="dxa"/>
          </w:tcPr>
          <w:p w:rsidR="007D35D3" w:rsidRDefault="007D35D3">
            <w:pPr>
              <w:pStyle w:val="ConsPlusNormal"/>
              <w:jc w:val="center"/>
            </w:pPr>
            <w:r>
              <w:t>Вид деятельности</w:t>
            </w:r>
          </w:p>
        </w:tc>
        <w:tc>
          <w:tcPr>
            <w:tcW w:w="2140" w:type="dxa"/>
          </w:tcPr>
          <w:p w:rsidR="007D35D3" w:rsidRDefault="007D35D3">
            <w:pPr>
              <w:pStyle w:val="ConsPlusNormal"/>
              <w:jc w:val="center"/>
            </w:pPr>
            <w:r>
              <w:t xml:space="preserve">Терновский муниципальный округ, Андреевский муниципальный округ, </w:t>
            </w:r>
            <w:proofErr w:type="spellStart"/>
            <w:r>
              <w:t>Верхнесадовский</w:t>
            </w:r>
            <w:proofErr w:type="spellEnd"/>
            <w:r>
              <w:t xml:space="preserve"> муниципальный округ, </w:t>
            </w:r>
            <w:proofErr w:type="spellStart"/>
            <w:r>
              <w:t>Орлиновский</w:t>
            </w:r>
            <w:proofErr w:type="spellEnd"/>
            <w:r>
              <w:t xml:space="preserve"> муниципальный округ, </w:t>
            </w:r>
            <w:proofErr w:type="spellStart"/>
            <w:r>
              <w:t>Качинский</w:t>
            </w:r>
            <w:proofErr w:type="spellEnd"/>
            <w:r>
              <w:t xml:space="preserve"> муниципальный округ, город </w:t>
            </w:r>
            <w:proofErr w:type="spellStart"/>
            <w:r>
              <w:t>Инкерман</w:t>
            </w:r>
            <w:proofErr w:type="spellEnd"/>
          </w:p>
        </w:tc>
        <w:tc>
          <w:tcPr>
            <w:tcW w:w="1699" w:type="dxa"/>
          </w:tcPr>
          <w:p w:rsidR="007D35D3" w:rsidRDefault="007D35D3">
            <w:pPr>
              <w:pStyle w:val="ConsPlusNormal"/>
              <w:jc w:val="center"/>
            </w:pPr>
            <w:r>
              <w:t>Балаклавский муниципальный округ, за исключением территорий, отнесенных к зоне А</w:t>
            </w:r>
          </w:p>
        </w:tc>
        <w:tc>
          <w:tcPr>
            <w:tcW w:w="2269" w:type="dxa"/>
          </w:tcPr>
          <w:p w:rsidR="007D35D3" w:rsidRDefault="007D35D3">
            <w:pPr>
              <w:pStyle w:val="ConsPlusNormal"/>
              <w:jc w:val="center"/>
            </w:pPr>
            <w:r>
              <w:t>Нахимовский муниципальный округ, Ленинский и Гагаринский муниципальные округа, за исключением территорий, отнесенных к зоне А</w:t>
            </w:r>
          </w:p>
        </w:tc>
        <w:tc>
          <w:tcPr>
            <w:tcW w:w="1134" w:type="dxa"/>
          </w:tcPr>
          <w:p w:rsidR="007D35D3" w:rsidRDefault="007D35D3">
            <w:pPr>
              <w:pStyle w:val="ConsPlusNormal"/>
              <w:jc w:val="center"/>
            </w:pPr>
            <w:r>
              <w:t xml:space="preserve">Зона А </w:t>
            </w:r>
            <w:hyperlink w:anchor="P256" w:history="1">
              <w:r>
                <w:rPr>
                  <w:color w:val="0000FF"/>
                </w:rPr>
                <w:t>&lt;*&gt;</w:t>
              </w:r>
            </w:hyperlink>
          </w:p>
        </w:tc>
      </w:tr>
      <w:tr w:rsidR="007D35D3">
        <w:tc>
          <w:tcPr>
            <w:tcW w:w="737" w:type="dxa"/>
          </w:tcPr>
          <w:p w:rsidR="007D35D3" w:rsidRDefault="007D35D3">
            <w:pPr>
              <w:pStyle w:val="ConsPlusNormal"/>
              <w:jc w:val="both"/>
            </w:pPr>
            <w:r>
              <w:t>1</w:t>
            </w:r>
          </w:p>
        </w:tc>
        <w:tc>
          <w:tcPr>
            <w:tcW w:w="3061" w:type="dxa"/>
          </w:tcPr>
          <w:p w:rsidR="007D35D3" w:rsidRDefault="007D35D3">
            <w:pPr>
              <w:pStyle w:val="ConsPlusNormal"/>
              <w:jc w:val="both"/>
            </w:pPr>
            <w:r>
              <w:t>Оказание бытовых услуг, в том числе:</w:t>
            </w:r>
          </w:p>
        </w:tc>
        <w:tc>
          <w:tcPr>
            <w:tcW w:w="2140" w:type="dxa"/>
          </w:tcPr>
          <w:p w:rsidR="007D35D3" w:rsidRDefault="007D35D3">
            <w:pPr>
              <w:pStyle w:val="ConsPlusNormal"/>
              <w:jc w:val="center"/>
            </w:pPr>
            <w:r>
              <w:t>-</w:t>
            </w:r>
          </w:p>
        </w:tc>
        <w:tc>
          <w:tcPr>
            <w:tcW w:w="1699" w:type="dxa"/>
          </w:tcPr>
          <w:p w:rsidR="007D35D3" w:rsidRDefault="007D35D3">
            <w:pPr>
              <w:pStyle w:val="ConsPlusNormal"/>
              <w:jc w:val="center"/>
            </w:pPr>
            <w:r>
              <w:t>-</w:t>
            </w:r>
          </w:p>
        </w:tc>
        <w:tc>
          <w:tcPr>
            <w:tcW w:w="2269" w:type="dxa"/>
          </w:tcPr>
          <w:p w:rsidR="007D35D3" w:rsidRDefault="007D35D3">
            <w:pPr>
              <w:pStyle w:val="ConsPlusNormal"/>
              <w:jc w:val="center"/>
            </w:pPr>
            <w:r>
              <w:t>-</w:t>
            </w:r>
          </w:p>
        </w:tc>
        <w:tc>
          <w:tcPr>
            <w:tcW w:w="1134" w:type="dxa"/>
          </w:tcPr>
          <w:p w:rsidR="007D35D3" w:rsidRDefault="007D35D3">
            <w:pPr>
              <w:pStyle w:val="ConsPlusNormal"/>
              <w:jc w:val="center"/>
            </w:pPr>
            <w:r>
              <w:t>-</w:t>
            </w:r>
          </w:p>
        </w:tc>
      </w:tr>
      <w:tr w:rsidR="007D35D3">
        <w:tc>
          <w:tcPr>
            <w:tcW w:w="737" w:type="dxa"/>
          </w:tcPr>
          <w:p w:rsidR="007D35D3" w:rsidRDefault="007D35D3">
            <w:pPr>
              <w:pStyle w:val="ConsPlusNormal"/>
              <w:jc w:val="both"/>
            </w:pPr>
            <w:r>
              <w:t>1.1</w:t>
            </w:r>
          </w:p>
        </w:tc>
        <w:tc>
          <w:tcPr>
            <w:tcW w:w="3061" w:type="dxa"/>
          </w:tcPr>
          <w:p w:rsidR="007D35D3" w:rsidRDefault="007D35D3">
            <w:pPr>
              <w:pStyle w:val="ConsPlusNormal"/>
              <w:jc w:val="both"/>
            </w:pPr>
            <w:r>
              <w:t>ремонт, окраска и пошив обуви;</w:t>
            </w:r>
          </w:p>
          <w:p w:rsidR="007D35D3" w:rsidRDefault="007D35D3">
            <w:pPr>
              <w:pStyle w:val="ConsPlusNormal"/>
              <w:jc w:val="both"/>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140" w:type="dxa"/>
          </w:tcPr>
          <w:p w:rsidR="007D35D3" w:rsidRDefault="007D35D3">
            <w:pPr>
              <w:pStyle w:val="ConsPlusNormal"/>
              <w:jc w:val="center"/>
            </w:pPr>
            <w:r>
              <w:t>0,03</w:t>
            </w:r>
          </w:p>
        </w:tc>
        <w:tc>
          <w:tcPr>
            <w:tcW w:w="1699" w:type="dxa"/>
          </w:tcPr>
          <w:p w:rsidR="007D35D3" w:rsidRDefault="007D35D3">
            <w:pPr>
              <w:pStyle w:val="ConsPlusNormal"/>
              <w:jc w:val="center"/>
            </w:pPr>
            <w:r>
              <w:t>0,08</w:t>
            </w:r>
          </w:p>
        </w:tc>
        <w:tc>
          <w:tcPr>
            <w:tcW w:w="2269" w:type="dxa"/>
          </w:tcPr>
          <w:p w:rsidR="007D35D3" w:rsidRDefault="007D35D3">
            <w:pPr>
              <w:pStyle w:val="ConsPlusNormal"/>
              <w:jc w:val="center"/>
            </w:pPr>
            <w:r>
              <w:t>0,4</w:t>
            </w:r>
          </w:p>
        </w:tc>
        <w:tc>
          <w:tcPr>
            <w:tcW w:w="1134" w:type="dxa"/>
          </w:tcPr>
          <w:p w:rsidR="007D35D3" w:rsidRDefault="007D35D3">
            <w:pPr>
              <w:pStyle w:val="ConsPlusNormal"/>
              <w:jc w:val="center"/>
            </w:pPr>
            <w:r>
              <w:t>0,9</w:t>
            </w:r>
          </w:p>
        </w:tc>
      </w:tr>
      <w:tr w:rsidR="007D35D3">
        <w:tc>
          <w:tcPr>
            <w:tcW w:w="737" w:type="dxa"/>
            <w:vMerge w:val="restart"/>
            <w:tcBorders>
              <w:bottom w:val="nil"/>
            </w:tcBorders>
          </w:tcPr>
          <w:p w:rsidR="007D35D3" w:rsidRDefault="007D35D3">
            <w:pPr>
              <w:pStyle w:val="ConsPlusNormal"/>
              <w:jc w:val="both"/>
            </w:pPr>
            <w:r>
              <w:t>1.2</w:t>
            </w:r>
          </w:p>
        </w:tc>
        <w:tc>
          <w:tcPr>
            <w:tcW w:w="3061" w:type="dxa"/>
            <w:tcBorders>
              <w:bottom w:val="nil"/>
            </w:tcBorders>
          </w:tcPr>
          <w:p w:rsidR="007D35D3" w:rsidRDefault="007D35D3">
            <w:pPr>
              <w:pStyle w:val="ConsPlusNormal"/>
              <w:jc w:val="both"/>
            </w:pPr>
            <w:r>
              <w:t xml:space="preserve">ремонт и техническое обслуживание бытовой радиоэлектронной аппаратуры, бытовых машин и бытовых приборов, ремонт и изготовление металлоизделий (за исключением видов деятельности: ремонт </w:t>
            </w:r>
            <w:r>
              <w:lastRenderedPageBreak/>
              <w:t xml:space="preserve">ювелирных изделий, чеканка и гравировка ювелирных изделий, чернение изделий из серебра, изготовление ювелирных изделий, изготовление накладных </w:t>
            </w:r>
            <w:proofErr w:type="spellStart"/>
            <w:r>
              <w:t>выпильных</w:t>
            </w:r>
            <w:proofErr w:type="spellEnd"/>
            <w:r>
              <w:t xml:space="preserve"> монограмм к ювелирным изделиям, изготовление ювелирных изделий методом литья по выплавленным моделям, обработка поделочных ювелирных камней и закрепление их в ювелирных изделиях, ремонт и реставрация антикварных изделий)</w:t>
            </w:r>
          </w:p>
        </w:tc>
        <w:tc>
          <w:tcPr>
            <w:tcW w:w="2140" w:type="dxa"/>
            <w:tcBorders>
              <w:bottom w:val="nil"/>
            </w:tcBorders>
          </w:tcPr>
          <w:p w:rsidR="007D35D3" w:rsidRDefault="007D35D3">
            <w:pPr>
              <w:pStyle w:val="ConsPlusNormal"/>
              <w:jc w:val="center"/>
            </w:pPr>
            <w:r>
              <w:lastRenderedPageBreak/>
              <w:t>0,06</w:t>
            </w:r>
          </w:p>
        </w:tc>
        <w:tc>
          <w:tcPr>
            <w:tcW w:w="1699" w:type="dxa"/>
            <w:tcBorders>
              <w:bottom w:val="nil"/>
            </w:tcBorders>
          </w:tcPr>
          <w:p w:rsidR="007D35D3" w:rsidRDefault="007D35D3">
            <w:pPr>
              <w:pStyle w:val="ConsPlusNormal"/>
              <w:jc w:val="center"/>
            </w:pPr>
            <w:r>
              <w:t>0,2</w:t>
            </w:r>
          </w:p>
        </w:tc>
        <w:tc>
          <w:tcPr>
            <w:tcW w:w="2269" w:type="dxa"/>
            <w:tcBorders>
              <w:bottom w:val="nil"/>
            </w:tcBorders>
          </w:tcPr>
          <w:p w:rsidR="007D35D3" w:rsidRDefault="007D35D3">
            <w:pPr>
              <w:pStyle w:val="ConsPlusNormal"/>
              <w:jc w:val="center"/>
            </w:pPr>
            <w:r>
              <w:t>0,7</w:t>
            </w:r>
          </w:p>
        </w:tc>
        <w:tc>
          <w:tcPr>
            <w:tcW w:w="1134" w:type="dxa"/>
            <w:tcBorders>
              <w:bottom w:val="nil"/>
            </w:tcBorders>
          </w:tcPr>
          <w:p w:rsidR="007D35D3" w:rsidRDefault="007D35D3">
            <w:pPr>
              <w:pStyle w:val="ConsPlusNormal"/>
              <w:jc w:val="center"/>
            </w:pPr>
            <w:r>
              <w:t>0,9</w:t>
            </w:r>
          </w:p>
        </w:tc>
      </w:tr>
      <w:tr w:rsidR="007D35D3">
        <w:tblPrEx>
          <w:tblBorders>
            <w:insideH w:val="nil"/>
          </w:tblBorders>
        </w:tblPrEx>
        <w:tc>
          <w:tcPr>
            <w:tcW w:w="737" w:type="dxa"/>
            <w:vMerge/>
            <w:tcBorders>
              <w:bottom w:val="nil"/>
            </w:tcBorders>
          </w:tcPr>
          <w:p w:rsidR="007D35D3" w:rsidRDefault="007D35D3"/>
        </w:tc>
        <w:tc>
          <w:tcPr>
            <w:tcW w:w="3061" w:type="dxa"/>
            <w:tcBorders>
              <w:top w:val="nil"/>
              <w:bottom w:val="nil"/>
            </w:tcBorders>
          </w:tcPr>
          <w:p w:rsidR="007D35D3" w:rsidRDefault="007D35D3">
            <w:pPr>
              <w:pStyle w:val="ConsPlusNormal"/>
              <w:jc w:val="both"/>
            </w:pPr>
            <w:r>
              <w:t xml:space="preserve">ремонт ювелирных изделий, чеканка и гравировка ювелирных изделий, чернение изделий из серебра, изготовление ювелирных изделий, изготовление накладных </w:t>
            </w:r>
            <w:proofErr w:type="spellStart"/>
            <w:r>
              <w:t>выпильных</w:t>
            </w:r>
            <w:proofErr w:type="spellEnd"/>
            <w:r>
              <w:t xml:space="preserve"> монограмм к ювелирным изделиям, изготовление ювелирных изделий методом литья по выплавленным моделям, обработка поделочных ювелирных камней и закрепление их в ювелирных изделиях, ремонт и реставрация антикварных </w:t>
            </w:r>
            <w:r>
              <w:lastRenderedPageBreak/>
              <w:t>изделий</w:t>
            </w:r>
          </w:p>
        </w:tc>
        <w:tc>
          <w:tcPr>
            <w:tcW w:w="2140" w:type="dxa"/>
            <w:tcBorders>
              <w:top w:val="nil"/>
              <w:bottom w:val="nil"/>
            </w:tcBorders>
          </w:tcPr>
          <w:p w:rsidR="007D35D3" w:rsidRDefault="007D35D3">
            <w:pPr>
              <w:pStyle w:val="ConsPlusNormal"/>
              <w:jc w:val="center"/>
            </w:pPr>
            <w:r>
              <w:lastRenderedPageBreak/>
              <w:t>0,7</w:t>
            </w:r>
          </w:p>
        </w:tc>
        <w:tc>
          <w:tcPr>
            <w:tcW w:w="1699" w:type="dxa"/>
            <w:tcBorders>
              <w:top w:val="nil"/>
              <w:bottom w:val="nil"/>
            </w:tcBorders>
          </w:tcPr>
          <w:p w:rsidR="007D35D3" w:rsidRDefault="007D35D3">
            <w:pPr>
              <w:pStyle w:val="ConsPlusNormal"/>
              <w:jc w:val="center"/>
            </w:pPr>
            <w:r>
              <w:t>0,7</w:t>
            </w:r>
          </w:p>
        </w:tc>
        <w:tc>
          <w:tcPr>
            <w:tcW w:w="2269" w:type="dxa"/>
            <w:tcBorders>
              <w:top w:val="nil"/>
              <w:bottom w:val="nil"/>
            </w:tcBorders>
          </w:tcPr>
          <w:p w:rsidR="007D35D3" w:rsidRDefault="007D35D3">
            <w:pPr>
              <w:pStyle w:val="ConsPlusNormal"/>
              <w:jc w:val="center"/>
            </w:pPr>
            <w:r>
              <w:t>0,7</w:t>
            </w:r>
          </w:p>
        </w:tc>
        <w:tc>
          <w:tcPr>
            <w:tcW w:w="1134" w:type="dxa"/>
            <w:tcBorders>
              <w:top w:val="nil"/>
              <w:bottom w:val="nil"/>
            </w:tcBorders>
          </w:tcPr>
          <w:p w:rsidR="007D35D3" w:rsidRDefault="007D35D3">
            <w:pPr>
              <w:pStyle w:val="ConsPlusNormal"/>
              <w:jc w:val="center"/>
            </w:pPr>
            <w:r>
              <w:t>0,9</w:t>
            </w:r>
          </w:p>
        </w:tc>
      </w:tr>
      <w:tr w:rsidR="007D35D3">
        <w:tblPrEx>
          <w:tblBorders>
            <w:insideH w:val="nil"/>
          </w:tblBorders>
        </w:tblPrEx>
        <w:tc>
          <w:tcPr>
            <w:tcW w:w="11040" w:type="dxa"/>
            <w:gridSpan w:val="6"/>
            <w:tcBorders>
              <w:top w:val="nil"/>
            </w:tcBorders>
          </w:tcPr>
          <w:p w:rsidR="007D35D3" w:rsidRDefault="007D35D3">
            <w:pPr>
              <w:pStyle w:val="ConsPlusNormal"/>
              <w:jc w:val="both"/>
            </w:pPr>
            <w:r>
              <w:lastRenderedPageBreak/>
              <w:t xml:space="preserve">(в ред. </w:t>
            </w:r>
            <w:hyperlink r:id="rId7" w:history="1">
              <w:r>
                <w:rPr>
                  <w:color w:val="0000FF"/>
                </w:rPr>
                <w:t>Закона</w:t>
              </w:r>
            </w:hyperlink>
            <w:r>
              <w:t xml:space="preserve"> города Севастополя от 03.11.2016 N 290-ЗС)</w:t>
            </w:r>
          </w:p>
        </w:tc>
      </w:tr>
      <w:tr w:rsidR="007D35D3">
        <w:tblPrEx>
          <w:tblBorders>
            <w:insideH w:val="nil"/>
          </w:tblBorders>
        </w:tblPrEx>
        <w:tc>
          <w:tcPr>
            <w:tcW w:w="737" w:type="dxa"/>
            <w:tcBorders>
              <w:bottom w:val="nil"/>
            </w:tcBorders>
          </w:tcPr>
          <w:p w:rsidR="007D35D3" w:rsidRDefault="007D35D3">
            <w:pPr>
              <w:pStyle w:val="ConsPlusNormal"/>
              <w:jc w:val="both"/>
            </w:pPr>
            <w:r>
              <w:t>1.3</w:t>
            </w:r>
          </w:p>
        </w:tc>
        <w:tc>
          <w:tcPr>
            <w:tcW w:w="3061" w:type="dxa"/>
            <w:tcBorders>
              <w:bottom w:val="nil"/>
            </w:tcBorders>
          </w:tcPr>
          <w:p w:rsidR="007D35D3" w:rsidRDefault="007D35D3">
            <w:pPr>
              <w:pStyle w:val="ConsPlusNormal"/>
              <w:jc w:val="both"/>
            </w:pPr>
            <w:r>
              <w:t>Ремонт мебели и предметов домашнего обихода</w:t>
            </w:r>
          </w:p>
        </w:tc>
        <w:tc>
          <w:tcPr>
            <w:tcW w:w="2140" w:type="dxa"/>
            <w:tcBorders>
              <w:bottom w:val="nil"/>
            </w:tcBorders>
          </w:tcPr>
          <w:p w:rsidR="007D35D3" w:rsidRDefault="007D35D3">
            <w:pPr>
              <w:pStyle w:val="ConsPlusNormal"/>
              <w:jc w:val="center"/>
            </w:pPr>
            <w:r>
              <w:t>0,03</w:t>
            </w:r>
          </w:p>
        </w:tc>
        <w:tc>
          <w:tcPr>
            <w:tcW w:w="1699" w:type="dxa"/>
            <w:tcBorders>
              <w:bottom w:val="nil"/>
            </w:tcBorders>
          </w:tcPr>
          <w:p w:rsidR="007D35D3" w:rsidRDefault="007D35D3">
            <w:pPr>
              <w:pStyle w:val="ConsPlusNormal"/>
              <w:jc w:val="center"/>
            </w:pPr>
            <w:r>
              <w:t>0,2</w:t>
            </w:r>
          </w:p>
        </w:tc>
        <w:tc>
          <w:tcPr>
            <w:tcW w:w="2269" w:type="dxa"/>
            <w:tcBorders>
              <w:bottom w:val="nil"/>
            </w:tcBorders>
          </w:tcPr>
          <w:p w:rsidR="007D35D3" w:rsidRDefault="007D35D3">
            <w:pPr>
              <w:pStyle w:val="ConsPlusNormal"/>
              <w:jc w:val="center"/>
            </w:pPr>
            <w:r>
              <w:t>0,8</w:t>
            </w:r>
          </w:p>
        </w:tc>
        <w:tc>
          <w:tcPr>
            <w:tcW w:w="1134" w:type="dxa"/>
            <w:tcBorders>
              <w:bottom w:val="nil"/>
            </w:tcBorders>
          </w:tcPr>
          <w:p w:rsidR="007D35D3" w:rsidRDefault="007D35D3">
            <w:pPr>
              <w:pStyle w:val="ConsPlusNormal"/>
              <w:jc w:val="center"/>
            </w:pPr>
            <w:r>
              <w:t>0,9</w:t>
            </w:r>
          </w:p>
        </w:tc>
      </w:tr>
      <w:tr w:rsidR="007D35D3">
        <w:tblPrEx>
          <w:tblBorders>
            <w:insideH w:val="nil"/>
          </w:tblBorders>
        </w:tblPrEx>
        <w:tc>
          <w:tcPr>
            <w:tcW w:w="11040" w:type="dxa"/>
            <w:gridSpan w:val="6"/>
            <w:tcBorders>
              <w:top w:val="nil"/>
            </w:tcBorders>
          </w:tcPr>
          <w:p w:rsidR="007D35D3" w:rsidRDefault="007D35D3">
            <w:pPr>
              <w:pStyle w:val="ConsPlusNormal"/>
              <w:jc w:val="both"/>
            </w:pPr>
            <w:r>
              <w:t xml:space="preserve">(в ред. </w:t>
            </w:r>
            <w:hyperlink r:id="rId8" w:history="1">
              <w:r>
                <w:rPr>
                  <w:color w:val="0000FF"/>
                </w:rPr>
                <w:t>Закона</w:t>
              </w:r>
            </w:hyperlink>
            <w:r>
              <w:t xml:space="preserve"> города Севастополя от 03.11.2016 N 290-ЗС)</w:t>
            </w:r>
          </w:p>
        </w:tc>
      </w:tr>
      <w:tr w:rsidR="007D35D3">
        <w:tc>
          <w:tcPr>
            <w:tcW w:w="737" w:type="dxa"/>
          </w:tcPr>
          <w:p w:rsidR="007D35D3" w:rsidRDefault="007D35D3">
            <w:pPr>
              <w:pStyle w:val="ConsPlusNormal"/>
              <w:jc w:val="both"/>
            </w:pPr>
            <w:r>
              <w:t>1.4</w:t>
            </w:r>
          </w:p>
        </w:tc>
        <w:tc>
          <w:tcPr>
            <w:tcW w:w="3061" w:type="dxa"/>
          </w:tcPr>
          <w:p w:rsidR="007D35D3" w:rsidRDefault="007D35D3">
            <w:pPr>
              <w:pStyle w:val="ConsPlusNormal"/>
              <w:jc w:val="both"/>
            </w:pPr>
            <w:r>
              <w:t>Химическая чистка и крашение, услуги прачечных</w:t>
            </w:r>
          </w:p>
        </w:tc>
        <w:tc>
          <w:tcPr>
            <w:tcW w:w="2140" w:type="dxa"/>
          </w:tcPr>
          <w:p w:rsidR="007D35D3" w:rsidRDefault="007D35D3">
            <w:pPr>
              <w:pStyle w:val="ConsPlusNormal"/>
              <w:jc w:val="center"/>
            </w:pPr>
            <w:r>
              <w:t>0,06</w:t>
            </w:r>
          </w:p>
        </w:tc>
        <w:tc>
          <w:tcPr>
            <w:tcW w:w="1699" w:type="dxa"/>
          </w:tcPr>
          <w:p w:rsidR="007D35D3" w:rsidRDefault="007D35D3">
            <w:pPr>
              <w:pStyle w:val="ConsPlusNormal"/>
              <w:jc w:val="center"/>
            </w:pPr>
            <w:r>
              <w:t>0,2</w:t>
            </w:r>
          </w:p>
        </w:tc>
        <w:tc>
          <w:tcPr>
            <w:tcW w:w="2269" w:type="dxa"/>
          </w:tcPr>
          <w:p w:rsidR="007D35D3" w:rsidRDefault="007D35D3">
            <w:pPr>
              <w:pStyle w:val="ConsPlusNormal"/>
              <w:jc w:val="center"/>
            </w:pPr>
            <w:r>
              <w:t>0,8</w:t>
            </w:r>
          </w:p>
        </w:tc>
        <w:tc>
          <w:tcPr>
            <w:tcW w:w="1134" w:type="dxa"/>
          </w:tcPr>
          <w:p w:rsidR="007D35D3" w:rsidRDefault="007D35D3">
            <w:pPr>
              <w:pStyle w:val="ConsPlusNormal"/>
              <w:jc w:val="center"/>
            </w:pPr>
            <w:r>
              <w:t>0,9</w:t>
            </w:r>
          </w:p>
        </w:tc>
      </w:tr>
      <w:tr w:rsidR="007D35D3">
        <w:tc>
          <w:tcPr>
            <w:tcW w:w="737" w:type="dxa"/>
          </w:tcPr>
          <w:p w:rsidR="007D35D3" w:rsidRDefault="007D35D3">
            <w:pPr>
              <w:pStyle w:val="ConsPlusNormal"/>
              <w:jc w:val="both"/>
            </w:pPr>
            <w:r>
              <w:t>1.5</w:t>
            </w:r>
          </w:p>
        </w:tc>
        <w:tc>
          <w:tcPr>
            <w:tcW w:w="3061" w:type="dxa"/>
          </w:tcPr>
          <w:p w:rsidR="007D35D3" w:rsidRDefault="007D35D3">
            <w:pPr>
              <w:pStyle w:val="ConsPlusNormal"/>
              <w:jc w:val="both"/>
            </w:pPr>
            <w:r>
              <w:t>Услуги фотоателье и фото- и кинолабораторий</w:t>
            </w:r>
          </w:p>
        </w:tc>
        <w:tc>
          <w:tcPr>
            <w:tcW w:w="2140" w:type="dxa"/>
          </w:tcPr>
          <w:p w:rsidR="007D35D3" w:rsidRDefault="007D35D3">
            <w:pPr>
              <w:pStyle w:val="ConsPlusNormal"/>
              <w:jc w:val="center"/>
            </w:pPr>
            <w:r>
              <w:t>0,05</w:t>
            </w:r>
          </w:p>
        </w:tc>
        <w:tc>
          <w:tcPr>
            <w:tcW w:w="1699" w:type="dxa"/>
          </w:tcPr>
          <w:p w:rsidR="007D35D3" w:rsidRDefault="007D35D3">
            <w:pPr>
              <w:pStyle w:val="ConsPlusNormal"/>
              <w:jc w:val="center"/>
            </w:pPr>
            <w:r>
              <w:t>0,2</w:t>
            </w:r>
          </w:p>
        </w:tc>
        <w:tc>
          <w:tcPr>
            <w:tcW w:w="2269" w:type="dxa"/>
          </w:tcPr>
          <w:p w:rsidR="007D35D3" w:rsidRDefault="007D35D3">
            <w:pPr>
              <w:pStyle w:val="ConsPlusNormal"/>
              <w:jc w:val="center"/>
            </w:pPr>
            <w:r>
              <w:t>0,8</w:t>
            </w:r>
          </w:p>
        </w:tc>
        <w:tc>
          <w:tcPr>
            <w:tcW w:w="1134" w:type="dxa"/>
          </w:tcPr>
          <w:p w:rsidR="007D35D3" w:rsidRDefault="007D35D3">
            <w:pPr>
              <w:pStyle w:val="ConsPlusNormal"/>
              <w:jc w:val="center"/>
            </w:pPr>
            <w:r>
              <w:t>0,9</w:t>
            </w:r>
          </w:p>
        </w:tc>
      </w:tr>
      <w:tr w:rsidR="007D35D3">
        <w:tc>
          <w:tcPr>
            <w:tcW w:w="737" w:type="dxa"/>
          </w:tcPr>
          <w:p w:rsidR="007D35D3" w:rsidRDefault="007D35D3">
            <w:pPr>
              <w:pStyle w:val="ConsPlusNormal"/>
              <w:jc w:val="both"/>
            </w:pPr>
            <w:r>
              <w:t>1.6</w:t>
            </w:r>
          </w:p>
        </w:tc>
        <w:tc>
          <w:tcPr>
            <w:tcW w:w="3061" w:type="dxa"/>
          </w:tcPr>
          <w:p w:rsidR="007D35D3" w:rsidRDefault="007D35D3">
            <w:pPr>
              <w:pStyle w:val="ConsPlusNormal"/>
              <w:jc w:val="both"/>
            </w:pPr>
            <w:r>
              <w:t>Прочие услуги производственного характера</w:t>
            </w:r>
          </w:p>
        </w:tc>
        <w:tc>
          <w:tcPr>
            <w:tcW w:w="2140" w:type="dxa"/>
          </w:tcPr>
          <w:p w:rsidR="007D35D3" w:rsidRDefault="007D35D3">
            <w:pPr>
              <w:pStyle w:val="ConsPlusNormal"/>
              <w:jc w:val="center"/>
            </w:pPr>
            <w:r>
              <w:t>0,05</w:t>
            </w:r>
          </w:p>
        </w:tc>
        <w:tc>
          <w:tcPr>
            <w:tcW w:w="1699" w:type="dxa"/>
          </w:tcPr>
          <w:p w:rsidR="007D35D3" w:rsidRDefault="007D35D3">
            <w:pPr>
              <w:pStyle w:val="ConsPlusNormal"/>
              <w:jc w:val="center"/>
            </w:pPr>
            <w:r>
              <w:t>0,2</w:t>
            </w:r>
          </w:p>
        </w:tc>
        <w:tc>
          <w:tcPr>
            <w:tcW w:w="2269" w:type="dxa"/>
          </w:tcPr>
          <w:p w:rsidR="007D35D3" w:rsidRDefault="007D35D3">
            <w:pPr>
              <w:pStyle w:val="ConsPlusNormal"/>
              <w:jc w:val="center"/>
            </w:pPr>
            <w:r>
              <w:t>0,7</w:t>
            </w:r>
          </w:p>
        </w:tc>
        <w:tc>
          <w:tcPr>
            <w:tcW w:w="1134" w:type="dxa"/>
          </w:tcPr>
          <w:p w:rsidR="007D35D3" w:rsidRDefault="007D35D3">
            <w:pPr>
              <w:pStyle w:val="ConsPlusNormal"/>
              <w:jc w:val="center"/>
            </w:pPr>
            <w:r>
              <w:t>0,9</w:t>
            </w:r>
          </w:p>
        </w:tc>
      </w:tr>
      <w:tr w:rsidR="007D35D3">
        <w:tc>
          <w:tcPr>
            <w:tcW w:w="737" w:type="dxa"/>
          </w:tcPr>
          <w:p w:rsidR="007D35D3" w:rsidRDefault="007D35D3">
            <w:pPr>
              <w:pStyle w:val="ConsPlusNormal"/>
              <w:jc w:val="both"/>
            </w:pPr>
            <w:r>
              <w:t>1.7</w:t>
            </w:r>
          </w:p>
        </w:tc>
        <w:tc>
          <w:tcPr>
            <w:tcW w:w="3061" w:type="dxa"/>
          </w:tcPr>
          <w:p w:rsidR="007D35D3" w:rsidRDefault="007D35D3">
            <w:pPr>
              <w:pStyle w:val="ConsPlusNormal"/>
              <w:jc w:val="both"/>
            </w:pPr>
            <w:r>
              <w:t>Парикмахерские и косметические услуги, оказываемые организациями коммунально-бытового назначения; услуги бань и душевых</w:t>
            </w:r>
          </w:p>
        </w:tc>
        <w:tc>
          <w:tcPr>
            <w:tcW w:w="2140" w:type="dxa"/>
          </w:tcPr>
          <w:p w:rsidR="007D35D3" w:rsidRDefault="007D35D3">
            <w:pPr>
              <w:pStyle w:val="ConsPlusNormal"/>
              <w:jc w:val="center"/>
            </w:pPr>
            <w:r>
              <w:t>0,05</w:t>
            </w:r>
          </w:p>
        </w:tc>
        <w:tc>
          <w:tcPr>
            <w:tcW w:w="1699" w:type="dxa"/>
          </w:tcPr>
          <w:p w:rsidR="007D35D3" w:rsidRDefault="007D35D3">
            <w:pPr>
              <w:pStyle w:val="ConsPlusNormal"/>
              <w:jc w:val="center"/>
            </w:pPr>
            <w:r>
              <w:t>0,2</w:t>
            </w:r>
          </w:p>
        </w:tc>
        <w:tc>
          <w:tcPr>
            <w:tcW w:w="2269" w:type="dxa"/>
          </w:tcPr>
          <w:p w:rsidR="007D35D3" w:rsidRDefault="007D35D3">
            <w:pPr>
              <w:pStyle w:val="ConsPlusNormal"/>
              <w:jc w:val="center"/>
            </w:pPr>
            <w:r>
              <w:t>0,7</w:t>
            </w:r>
          </w:p>
        </w:tc>
        <w:tc>
          <w:tcPr>
            <w:tcW w:w="1134" w:type="dxa"/>
          </w:tcPr>
          <w:p w:rsidR="007D35D3" w:rsidRDefault="007D35D3">
            <w:pPr>
              <w:pStyle w:val="ConsPlusNormal"/>
              <w:jc w:val="center"/>
            </w:pPr>
            <w:r>
              <w:t>0,9</w:t>
            </w:r>
          </w:p>
        </w:tc>
      </w:tr>
      <w:tr w:rsidR="007D35D3">
        <w:tblPrEx>
          <w:tblBorders>
            <w:insideH w:val="nil"/>
          </w:tblBorders>
        </w:tblPrEx>
        <w:tc>
          <w:tcPr>
            <w:tcW w:w="737" w:type="dxa"/>
            <w:tcBorders>
              <w:bottom w:val="nil"/>
            </w:tcBorders>
          </w:tcPr>
          <w:p w:rsidR="007D35D3" w:rsidRDefault="007D35D3">
            <w:pPr>
              <w:pStyle w:val="ConsPlusNormal"/>
              <w:jc w:val="both"/>
            </w:pPr>
            <w:r>
              <w:t>1.8</w:t>
            </w:r>
          </w:p>
        </w:tc>
        <w:tc>
          <w:tcPr>
            <w:tcW w:w="3061" w:type="dxa"/>
            <w:tcBorders>
              <w:bottom w:val="nil"/>
            </w:tcBorders>
          </w:tcPr>
          <w:p w:rsidR="007D35D3" w:rsidRDefault="007D35D3">
            <w:pPr>
              <w:pStyle w:val="ConsPlusNormal"/>
              <w:jc w:val="both"/>
            </w:pPr>
            <w:r>
              <w:t>Услуги предприятий по прокату (за исключением вида деятельности: прокат транспортных средств (мотоциклов, мотороллеров, мопедов, велосипедов, легковых и грузовых автомобилей))</w:t>
            </w:r>
          </w:p>
        </w:tc>
        <w:tc>
          <w:tcPr>
            <w:tcW w:w="2140" w:type="dxa"/>
            <w:tcBorders>
              <w:bottom w:val="nil"/>
            </w:tcBorders>
          </w:tcPr>
          <w:p w:rsidR="007D35D3" w:rsidRDefault="007D35D3">
            <w:pPr>
              <w:pStyle w:val="ConsPlusNormal"/>
              <w:jc w:val="center"/>
            </w:pPr>
            <w:r>
              <w:t>0,05</w:t>
            </w:r>
          </w:p>
        </w:tc>
        <w:tc>
          <w:tcPr>
            <w:tcW w:w="1699" w:type="dxa"/>
            <w:tcBorders>
              <w:bottom w:val="nil"/>
            </w:tcBorders>
          </w:tcPr>
          <w:p w:rsidR="007D35D3" w:rsidRDefault="007D35D3">
            <w:pPr>
              <w:pStyle w:val="ConsPlusNormal"/>
              <w:jc w:val="center"/>
            </w:pPr>
            <w:r>
              <w:t>0,1</w:t>
            </w:r>
          </w:p>
        </w:tc>
        <w:tc>
          <w:tcPr>
            <w:tcW w:w="2269" w:type="dxa"/>
            <w:tcBorders>
              <w:bottom w:val="nil"/>
            </w:tcBorders>
          </w:tcPr>
          <w:p w:rsidR="007D35D3" w:rsidRDefault="007D35D3">
            <w:pPr>
              <w:pStyle w:val="ConsPlusNormal"/>
              <w:jc w:val="center"/>
            </w:pPr>
            <w:r>
              <w:t>0,7</w:t>
            </w:r>
          </w:p>
        </w:tc>
        <w:tc>
          <w:tcPr>
            <w:tcW w:w="1134" w:type="dxa"/>
            <w:tcBorders>
              <w:bottom w:val="nil"/>
            </w:tcBorders>
          </w:tcPr>
          <w:p w:rsidR="007D35D3" w:rsidRDefault="007D35D3">
            <w:pPr>
              <w:pStyle w:val="ConsPlusNormal"/>
              <w:jc w:val="center"/>
            </w:pPr>
            <w:r>
              <w:t>0,9</w:t>
            </w:r>
          </w:p>
        </w:tc>
      </w:tr>
      <w:tr w:rsidR="007D35D3">
        <w:tblPrEx>
          <w:tblBorders>
            <w:insideH w:val="nil"/>
          </w:tblBorders>
        </w:tblPrEx>
        <w:tc>
          <w:tcPr>
            <w:tcW w:w="11040" w:type="dxa"/>
            <w:gridSpan w:val="6"/>
            <w:tcBorders>
              <w:top w:val="nil"/>
            </w:tcBorders>
          </w:tcPr>
          <w:p w:rsidR="007D35D3" w:rsidRDefault="007D35D3">
            <w:pPr>
              <w:pStyle w:val="ConsPlusNormal"/>
              <w:jc w:val="both"/>
            </w:pPr>
            <w:r>
              <w:t xml:space="preserve">(в ред. </w:t>
            </w:r>
            <w:hyperlink r:id="rId9" w:history="1">
              <w:r>
                <w:rPr>
                  <w:color w:val="0000FF"/>
                </w:rPr>
                <w:t>Закона</w:t>
              </w:r>
            </w:hyperlink>
            <w:r>
              <w:t xml:space="preserve"> города Севастополя от 03.11.2016 N 290-ЗС)</w:t>
            </w:r>
          </w:p>
        </w:tc>
      </w:tr>
      <w:tr w:rsidR="007D35D3">
        <w:tc>
          <w:tcPr>
            <w:tcW w:w="737" w:type="dxa"/>
          </w:tcPr>
          <w:p w:rsidR="007D35D3" w:rsidRDefault="007D35D3">
            <w:pPr>
              <w:pStyle w:val="ConsPlusNormal"/>
              <w:jc w:val="both"/>
            </w:pPr>
            <w:r>
              <w:lastRenderedPageBreak/>
              <w:t>1.9</w:t>
            </w:r>
          </w:p>
        </w:tc>
        <w:tc>
          <w:tcPr>
            <w:tcW w:w="3061" w:type="dxa"/>
          </w:tcPr>
          <w:p w:rsidR="007D35D3" w:rsidRDefault="007D35D3">
            <w:pPr>
              <w:pStyle w:val="ConsPlusNormal"/>
              <w:jc w:val="both"/>
            </w:pPr>
            <w:r>
              <w:t>Ритуальные услуги, обрядовые услуги</w:t>
            </w:r>
          </w:p>
        </w:tc>
        <w:tc>
          <w:tcPr>
            <w:tcW w:w="2140" w:type="dxa"/>
          </w:tcPr>
          <w:p w:rsidR="007D35D3" w:rsidRDefault="007D35D3">
            <w:pPr>
              <w:pStyle w:val="ConsPlusNormal"/>
              <w:jc w:val="center"/>
            </w:pPr>
            <w:r>
              <w:t>0,05</w:t>
            </w:r>
          </w:p>
        </w:tc>
        <w:tc>
          <w:tcPr>
            <w:tcW w:w="1699" w:type="dxa"/>
          </w:tcPr>
          <w:p w:rsidR="007D35D3" w:rsidRDefault="007D35D3">
            <w:pPr>
              <w:pStyle w:val="ConsPlusNormal"/>
              <w:jc w:val="center"/>
            </w:pPr>
            <w:r>
              <w:t>0,2</w:t>
            </w:r>
          </w:p>
        </w:tc>
        <w:tc>
          <w:tcPr>
            <w:tcW w:w="2269" w:type="dxa"/>
          </w:tcPr>
          <w:p w:rsidR="007D35D3" w:rsidRDefault="007D35D3">
            <w:pPr>
              <w:pStyle w:val="ConsPlusNormal"/>
              <w:jc w:val="center"/>
            </w:pPr>
            <w:r>
              <w:t>0,8</w:t>
            </w:r>
          </w:p>
        </w:tc>
        <w:tc>
          <w:tcPr>
            <w:tcW w:w="1134" w:type="dxa"/>
          </w:tcPr>
          <w:p w:rsidR="007D35D3" w:rsidRDefault="007D35D3">
            <w:pPr>
              <w:pStyle w:val="ConsPlusNormal"/>
              <w:jc w:val="center"/>
            </w:pPr>
            <w:r>
              <w:t>0,8</w:t>
            </w:r>
          </w:p>
        </w:tc>
      </w:tr>
      <w:tr w:rsidR="007D35D3">
        <w:tc>
          <w:tcPr>
            <w:tcW w:w="737" w:type="dxa"/>
          </w:tcPr>
          <w:p w:rsidR="007D35D3" w:rsidRDefault="007D35D3">
            <w:pPr>
              <w:pStyle w:val="ConsPlusNormal"/>
              <w:jc w:val="both"/>
            </w:pPr>
            <w:r>
              <w:t>2</w:t>
            </w:r>
          </w:p>
        </w:tc>
        <w:tc>
          <w:tcPr>
            <w:tcW w:w="3061" w:type="dxa"/>
          </w:tcPr>
          <w:p w:rsidR="007D35D3" w:rsidRDefault="007D35D3">
            <w:pPr>
              <w:pStyle w:val="ConsPlusNormal"/>
              <w:jc w:val="both"/>
            </w:pPr>
            <w:r>
              <w:t>Оказание ветеринарных услуг</w:t>
            </w:r>
          </w:p>
        </w:tc>
        <w:tc>
          <w:tcPr>
            <w:tcW w:w="2140" w:type="dxa"/>
          </w:tcPr>
          <w:p w:rsidR="007D35D3" w:rsidRDefault="007D35D3">
            <w:pPr>
              <w:pStyle w:val="ConsPlusNormal"/>
              <w:jc w:val="center"/>
            </w:pPr>
            <w:r>
              <w:t>0,4</w:t>
            </w:r>
          </w:p>
        </w:tc>
        <w:tc>
          <w:tcPr>
            <w:tcW w:w="1699" w:type="dxa"/>
          </w:tcPr>
          <w:p w:rsidR="007D35D3" w:rsidRDefault="007D35D3">
            <w:pPr>
              <w:pStyle w:val="ConsPlusNormal"/>
              <w:jc w:val="center"/>
            </w:pPr>
            <w:r>
              <w:t>0,9</w:t>
            </w:r>
          </w:p>
        </w:tc>
        <w:tc>
          <w:tcPr>
            <w:tcW w:w="2269" w:type="dxa"/>
          </w:tcPr>
          <w:p w:rsidR="007D35D3" w:rsidRDefault="007D35D3">
            <w:pPr>
              <w:pStyle w:val="ConsPlusNormal"/>
              <w:jc w:val="center"/>
            </w:pPr>
            <w:r>
              <w:t>0,9</w:t>
            </w:r>
          </w:p>
        </w:tc>
        <w:tc>
          <w:tcPr>
            <w:tcW w:w="1134" w:type="dxa"/>
          </w:tcPr>
          <w:p w:rsidR="007D35D3" w:rsidRDefault="007D35D3">
            <w:pPr>
              <w:pStyle w:val="ConsPlusNormal"/>
              <w:jc w:val="center"/>
            </w:pPr>
            <w:r>
              <w:t>0,9</w:t>
            </w:r>
          </w:p>
        </w:tc>
      </w:tr>
      <w:tr w:rsidR="007D35D3">
        <w:tc>
          <w:tcPr>
            <w:tcW w:w="737" w:type="dxa"/>
          </w:tcPr>
          <w:p w:rsidR="007D35D3" w:rsidRDefault="007D35D3">
            <w:pPr>
              <w:pStyle w:val="ConsPlusNormal"/>
              <w:jc w:val="both"/>
            </w:pPr>
            <w:r>
              <w:t>3</w:t>
            </w:r>
          </w:p>
        </w:tc>
        <w:tc>
          <w:tcPr>
            <w:tcW w:w="3061" w:type="dxa"/>
          </w:tcPr>
          <w:p w:rsidR="007D35D3" w:rsidRDefault="007D35D3">
            <w:pPr>
              <w:pStyle w:val="ConsPlusNormal"/>
              <w:jc w:val="both"/>
            </w:pPr>
            <w:r>
              <w:t>Оказание услуг по ремонту, техническому обслуживанию и мойке автомототранспортных средств</w:t>
            </w:r>
          </w:p>
        </w:tc>
        <w:tc>
          <w:tcPr>
            <w:tcW w:w="2140" w:type="dxa"/>
          </w:tcPr>
          <w:p w:rsidR="007D35D3" w:rsidRDefault="007D35D3">
            <w:pPr>
              <w:pStyle w:val="ConsPlusNormal"/>
              <w:jc w:val="center"/>
            </w:pPr>
            <w:r>
              <w:t>1</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4</w:t>
            </w:r>
          </w:p>
        </w:tc>
        <w:tc>
          <w:tcPr>
            <w:tcW w:w="3061" w:type="dxa"/>
          </w:tcPr>
          <w:p w:rsidR="007D35D3" w:rsidRDefault="007D35D3">
            <w:pPr>
              <w:pStyle w:val="ConsPlusNormal"/>
              <w:jc w:val="both"/>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140" w:type="dxa"/>
          </w:tcPr>
          <w:p w:rsidR="007D35D3" w:rsidRDefault="007D35D3">
            <w:pPr>
              <w:pStyle w:val="ConsPlusNormal"/>
              <w:jc w:val="center"/>
            </w:pPr>
            <w:r>
              <w:t>0,1</w:t>
            </w:r>
          </w:p>
        </w:tc>
        <w:tc>
          <w:tcPr>
            <w:tcW w:w="1699" w:type="dxa"/>
          </w:tcPr>
          <w:p w:rsidR="007D35D3" w:rsidRDefault="007D35D3">
            <w:pPr>
              <w:pStyle w:val="ConsPlusNormal"/>
              <w:jc w:val="center"/>
            </w:pPr>
            <w:r>
              <w:t>0,2</w:t>
            </w:r>
          </w:p>
        </w:tc>
        <w:tc>
          <w:tcPr>
            <w:tcW w:w="2269" w:type="dxa"/>
          </w:tcPr>
          <w:p w:rsidR="007D35D3" w:rsidRDefault="007D35D3">
            <w:pPr>
              <w:pStyle w:val="ConsPlusNormal"/>
              <w:jc w:val="both"/>
            </w:pPr>
            <w:r>
              <w:t>Нахимовский муниципальный округ - 0,7; Ленинский и Гагаринский муниципальные округа - 0,9</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5</w:t>
            </w:r>
          </w:p>
        </w:tc>
        <w:tc>
          <w:tcPr>
            <w:tcW w:w="3061" w:type="dxa"/>
          </w:tcPr>
          <w:p w:rsidR="007D35D3" w:rsidRDefault="007D35D3">
            <w:pPr>
              <w:pStyle w:val="ConsPlusNormal"/>
              <w:jc w:val="both"/>
            </w:pPr>
            <w:r>
              <w:t>Оказание автотранспортных услуг,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том числе:</w:t>
            </w:r>
          </w:p>
        </w:tc>
        <w:tc>
          <w:tcPr>
            <w:tcW w:w="2140" w:type="dxa"/>
          </w:tcPr>
          <w:p w:rsidR="007D35D3" w:rsidRDefault="007D35D3">
            <w:pPr>
              <w:pStyle w:val="ConsPlusNormal"/>
              <w:jc w:val="center"/>
            </w:pPr>
            <w:r>
              <w:t>-</w:t>
            </w:r>
          </w:p>
        </w:tc>
        <w:tc>
          <w:tcPr>
            <w:tcW w:w="1699" w:type="dxa"/>
          </w:tcPr>
          <w:p w:rsidR="007D35D3" w:rsidRDefault="007D35D3">
            <w:pPr>
              <w:pStyle w:val="ConsPlusNormal"/>
              <w:jc w:val="center"/>
            </w:pPr>
            <w:r>
              <w:t>-</w:t>
            </w:r>
          </w:p>
        </w:tc>
        <w:tc>
          <w:tcPr>
            <w:tcW w:w="2269" w:type="dxa"/>
          </w:tcPr>
          <w:p w:rsidR="007D35D3" w:rsidRDefault="007D35D3">
            <w:pPr>
              <w:pStyle w:val="ConsPlusNormal"/>
              <w:jc w:val="center"/>
            </w:pPr>
            <w:r>
              <w:t>-</w:t>
            </w:r>
          </w:p>
        </w:tc>
        <w:tc>
          <w:tcPr>
            <w:tcW w:w="1134" w:type="dxa"/>
          </w:tcPr>
          <w:p w:rsidR="007D35D3" w:rsidRDefault="007D35D3">
            <w:pPr>
              <w:pStyle w:val="ConsPlusNormal"/>
              <w:jc w:val="center"/>
            </w:pPr>
            <w:r>
              <w:t>-</w:t>
            </w:r>
          </w:p>
        </w:tc>
      </w:tr>
      <w:tr w:rsidR="007D35D3">
        <w:tc>
          <w:tcPr>
            <w:tcW w:w="737" w:type="dxa"/>
          </w:tcPr>
          <w:p w:rsidR="007D35D3" w:rsidRDefault="007D35D3">
            <w:pPr>
              <w:pStyle w:val="ConsPlusNormal"/>
              <w:jc w:val="both"/>
            </w:pPr>
            <w:r>
              <w:lastRenderedPageBreak/>
              <w:t>5.1</w:t>
            </w:r>
          </w:p>
        </w:tc>
        <w:tc>
          <w:tcPr>
            <w:tcW w:w="3061" w:type="dxa"/>
          </w:tcPr>
          <w:p w:rsidR="007D35D3" w:rsidRDefault="007D35D3">
            <w:pPr>
              <w:pStyle w:val="ConsPlusNormal"/>
              <w:jc w:val="both"/>
            </w:pPr>
            <w:r>
              <w:t>перевозка грузов</w:t>
            </w:r>
          </w:p>
        </w:tc>
        <w:tc>
          <w:tcPr>
            <w:tcW w:w="2140" w:type="dxa"/>
          </w:tcPr>
          <w:p w:rsidR="007D35D3" w:rsidRDefault="007D35D3">
            <w:pPr>
              <w:pStyle w:val="ConsPlusNormal"/>
              <w:jc w:val="center"/>
            </w:pPr>
            <w:r>
              <w:t>1</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vMerge w:val="restart"/>
          </w:tcPr>
          <w:p w:rsidR="007D35D3" w:rsidRDefault="007D35D3">
            <w:pPr>
              <w:pStyle w:val="ConsPlusNormal"/>
              <w:jc w:val="both"/>
            </w:pPr>
            <w:r>
              <w:t>5.2</w:t>
            </w:r>
          </w:p>
        </w:tc>
        <w:tc>
          <w:tcPr>
            <w:tcW w:w="3061" w:type="dxa"/>
            <w:tcBorders>
              <w:bottom w:val="nil"/>
            </w:tcBorders>
          </w:tcPr>
          <w:p w:rsidR="007D35D3" w:rsidRDefault="007D35D3">
            <w:pPr>
              <w:pStyle w:val="ConsPlusNormal"/>
              <w:jc w:val="both"/>
            </w:pPr>
            <w:r>
              <w:t>перевозка пассажиров:</w:t>
            </w:r>
          </w:p>
        </w:tc>
        <w:tc>
          <w:tcPr>
            <w:tcW w:w="2140" w:type="dxa"/>
            <w:tcBorders>
              <w:bottom w:val="nil"/>
            </w:tcBorders>
          </w:tcPr>
          <w:p w:rsidR="007D35D3" w:rsidRDefault="007D35D3">
            <w:pPr>
              <w:pStyle w:val="ConsPlusNormal"/>
              <w:jc w:val="center"/>
            </w:pPr>
          </w:p>
        </w:tc>
        <w:tc>
          <w:tcPr>
            <w:tcW w:w="1699" w:type="dxa"/>
            <w:tcBorders>
              <w:bottom w:val="nil"/>
            </w:tcBorders>
          </w:tcPr>
          <w:p w:rsidR="007D35D3" w:rsidRDefault="007D35D3">
            <w:pPr>
              <w:pStyle w:val="ConsPlusNormal"/>
              <w:jc w:val="center"/>
            </w:pPr>
          </w:p>
        </w:tc>
        <w:tc>
          <w:tcPr>
            <w:tcW w:w="2269" w:type="dxa"/>
            <w:tcBorders>
              <w:bottom w:val="nil"/>
            </w:tcBorders>
          </w:tcPr>
          <w:p w:rsidR="007D35D3" w:rsidRDefault="007D35D3">
            <w:pPr>
              <w:pStyle w:val="ConsPlusNormal"/>
              <w:jc w:val="center"/>
            </w:pPr>
          </w:p>
        </w:tc>
        <w:tc>
          <w:tcPr>
            <w:tcW w:w="1134" w:type="dxa"/>
            <w:tcBorders>
              <w:bottom w:val="nil"/>
            </w:tcBorders>
          </w:tcPr>
          <w:p w:rsidR="007D35D3" w:rsidRDefault="007D35D3">
            <w:pPr>
              <w:pStyle w:val="ConsPlusNormal"/>
              <w:jc w:val="center"/>
            </w:pPr>
          </w:p>
        </w:tc>
      </w:tr>
      <w:tr w:rsidR="007D35D3">
        <w:tblPrEx>
          <w:tblBorders>
            <w:insideH w:val="nil"/>
          </w:tblBorders>
        </w:tblPrEx>
        <w:tc>
          <w:tcPr>
            <w:tcW w:w="737" w:type="dxa"/>
            <w:vMerge/>
          </w:tcPr>
          <w:p w:rsidR="007D35D3" w:rsidRDefault="007D35D3"/>
        </w:tc>
        <w:tc>
          <w:tcPr>
            <w:tcW w:w="3061" w:type="dxa"/>
            <w:tcBorders>
              <w:top w:val="nil"/>
              <w:bottom w:val="nil"/>
            </w:tcBorders>
          </w:tcPr>
          <w:p w:rsidR="007D35D3" w:rsidRDefault="007D35D3">
            <w:pPr>
              <w:pStyle w:val="ConsPlusNormal"/>
              <w:jc w:val="both"/>
            </w:pPr>
            <w:r>
              <w:t>с использованием транспортных средств до 4 посадочных мест включительно</w:t>
            </w:r>
          </w:p>
        </w:tc>
        <w:tc>
          <w:tcPr>
            <w:tcW w:w="2140" w:type="dxa"/>
            <w:tcBorders>
              <w:top w:val="nil"/>
              <w:bottom w:val="nil"/>
            </w:tcBorders>
          </w:tcPr>
          <w:p w:rsidR="007D35D3" w:rsidRDefault="007D35D3">
            <w:pPr>
              <w:pStyle w:val="ConsPlusNormal"/>
              <w:jc w:val="center"/>
            </w:pPr>
            <w:r>
              <w:t>1</w:t>
            </w:r>
          </w:p>
        </w:tc>
        <w:tc>
          <w:tcPr>
            <w:tcW w:w="1699" w:type="dxa"/>
            <w:tcBorders>
              <w:top w:val="nil"/>
              <w:bottom w:val="nil"/>
            </w:tcBorders>
          </w:tcPr>
          <w:p w:rsidR="007D35D3" w:rsidRDefault="007D35D3">
            <w:pPr>
              <w:pStyle w:val="ConsPlusNormal"/>
              <w:jc w:val="center"/>
            </w:pPr>
            <w:r>
              <w:t>1</w:t>
            </w:r>
          </w:p>
        </w:tc>
        <w:tc>
          <w:tcPr>
            <w:tcW w:w="2269" w:type="dxa"/>
            <w:tcBorders>
              <w:top w:val="nil"/>
              <w:bottom w:val="nil"/>
            </w:tcBorders>
          </w:tcPr>
          <w:p w:rsidR="007D35D3" w:rsidRDefault="007D35D3">
            <w:pPr>
              <w:pStyle w:val="ConsPlusNormal"/>
              <w:jc w:val="center"/>
            </w:pPr>
            <w:r>
              <w:t>1</w:t>
            </w:r>
          </w:p>
        </w:tc>
        <w:tc>
          <w:tcPr>
            <w:tcW w:w="1134" w:type="dxa"/>
            <w:tcBorders>
              <w:top w:val="nil"/>
              <w:bottom w:val="nil"/>
            </w:tcBorders>
          </w:tcPr>
          <w:p w:rsidR="007D35D3" w:rsidRDefault="007D35D3">
            <w:pPr>
              <w:pStyle w:val="ConsPlusNormal"/>
              <w:jc w:val="center"/>
            </w:pPr>
            <w:r>
              <w:t>1</w:t>
            </w:r>
          </w:p>
        </w:tc>
      </w:tr>
      <w:tr w:rsidR="007D35D3">
        <w:tblPrEx>
          <w:tblBorders>
            <w:insideH w:val="nil"/>
          </w:tblBorders>
        </w:tblPrEx>
        <w:tc>
          <w:tcPr>
            <w:tcW w:w="737" w:type="dxa"/>
            <w:vMerge/>
          </w:tcPr>
          <w:p w:rsidR="007D35D3" w:rsidRDefault="007D35D3"/>
        </w:tc>
        <w:tc>
          <w:tcPr>
            <w:tcW w:w="3061" w:type="dxa"/>
            <w:tcBorders>
              <w:top w:val="nil"/>
              <w:bottom w:val="nil"/>
            </w:tcBorders>
          </w:tcPr>
          <w:p w:rsidR="007D35D3" w:rsidRDefault="007D35D3">
            <w:pPr>
              <w:pStyle w:val="ConsPlusNormal"/>
              <w:jc w:val="both"/>
            </w:pPr>
            <w:r>
              <w:t>с использованием транспортных средств до 18 посадочных мест включительно</w:t>
            </w:r>
          </w:p>
        </w:tc>
        <w:tc>
          <w:tcPr>
            <w:tcW w:w="2140" w:type="dxa"/>
            <w:tcBorders>
              <w:top w:val="nil"/>
              <w:bottom w:val="nil"/>
            </w:tcBorders>
          </w:tcPr>
          <w:p w:rsidR="007D35D3" w:rsidRDefault="007D35D3">
            <w:pPr>
              <w:pStyle w:val="ConsPlusNormal"/>
              <w:jc w:val="center"/>
            </w:pPr>
            <w:r>
              <w:t>0,9</w:t>
            </w:r>
          </w:p>
        </w:tc>
        <w:tc>
          <w:tcPr>
            <w:tcW w:w="1699" w:type="dxa"/>
            <w:tcBorders>
              <w:top w:val="nil"/>
              <w:bottom w:val="nil"/>
            </w:tcBorders>
          </w:tcPr>
          <w:p w:rsidR="007D35D3" w:rsidRDefault="007D35D3">
            <w:pPr>
              <w:pStyle w:val="ConsPlusNormal"/>
              <w:jc w:val="center"/>
            </w:pPr>
            <w:r>
              <w:t>0,9</w:t>
            </w:r>
          </w:p>
        </w:tc>
        <w:tc>
          <w:tcPr>
            <w:tcW w:w="2269" w:type="dxa"/>
            <w:tcBorders>
              <w:top w:val="nil"/>
              <w:bottom w:val="nil"/>
            </w:tcBorders>
          </w:tcPr>
          <w:p w:rsidR="007D35D3" w:rsidRDefault="007D35D3">
            <w:pPr>
              <w:pStyle w:val="ConsPlusNormal"/>
              <w:jc w:val="center"/>
            </w:pPr>
            <w:r>
              <w:t>0,9</w:t>
            </w:r>
          </w:p>
        </w:tc>
        <w:tc>
          <w:tcPr>
            <w:tcW w:w="1134" w:type="dxa"/>
            <w:tcBorders>
              <w:top w:val="nil"/>
              <w:bottom w:val="nil"/>
            </w:tcBorders>
          </w:tcPr>
          <w:p w:rsidR="007D35D3" w:rsidRDefault="007D35D3">
            <w:pPr>
              <w:pStyle w:val="ConsPlusNormal"/>
              <w:jc w:val="center"/>
            </w:pPr>
            <w:r>
              <w:t>0,9</w:t>
            </w:r>
          </w:p>
        </w:tc>
      </w:tr>
      <w:tr w:rsidR="007D35D3">
        <w:tblPrEx>
          <w:tblBorders>
            <w:insideH w:val="nil"/>
          </w:tblBorders>
        </w:tblPrEx>
        <w:tc>
          <w:tcPr>
            <w:tcW w:w="737" w:type="dxa"/>
            <w:vMerge/>
          </w:tcPr>
          <w:p w:rsidR="007D35D3" w:rsidRDefault="007D35D3"/>
        </w:tc>
        <w:tc>
          <w:tcPr>
            <w:tcW w:w="3061" w:type="dxa"/>
            <w:tcBorders>
              <w:top w:val="nil"/>
              <w:bottom w:val="nil"/>
            </w:tcBorders>
          </w:tcPr>
          <w:p w:rsidR="007D35D3" w:rsidRDefault="007D35D3">
            <w:pPr>
              <w:pStyle w:val="ConsPlusNormal"/>
              <w:jc w:val="both"/>
            </w:pPr>
            <w:r>
              <w:t>с использованием транспортных средств свыше 18 посадочных мест</w:t>
            </w:r>
          </w:p>
        </w:tc>
        <w:tc>
          <w:tcPr>
            <w:tcW w:w="2140" w:type="dxa"/>
            <w:tcBorders>
              <w:top w:val="nil"/>
              <w:bottom w:val="nil"/>
            </w:tcBorders>
          </w:tcPr>
          <w:p w:rsidR="007D35D3" w:rsidRDefault="007D35D3">
            <w:pPr>
              <w:pStyle w:val="ConsPlusNormal"/>
              <w:jc w:val="center"/>
            </w:pPr>
            <w:r>
              <w:t>0,8</w:t>
            </w:r>
          </w:p>
        </w:tc>
        <w:tc>
          <w:tcPr>
            <w:tcW w:w="1699" w:type="dxa"/>
            <w:tcBorders>
              <w:top w:val="nil"/>
              <w:bottom w:val="nil"/>
            </w:tcBorders>
          </w:tcPr>
          <w:p w:rsidR="007D35D3" w:rsidRDefault="007D35D3">
            <w:pPr>
              <w:pStyle w:val="ConsPlusNormal"/>
              <w:jc w:val="center"/>
            </w:pPr>
            <w:r>
              <w:t>0,8</w:t>
            </w:r>
          </w:p>
        </w:tc>
        <w:tc>
          <w:tcPr>
            <w:tcW w:w="2269" w:type="dxa"/>
            <w:tcBorders>
              <w:top w:val="nil"/>
              <w:bottom w:val="nil"/>
            </w:tcBorders>
          </w:tcPr>
          <w:p w:rsidR="007D35D3" w:rsidRDefault="007D35D3">
            <w:pPr>
              <w:pStyle w:val="ConsPlusNormal"/>
              <w:jc w:val="center"/>
            </w:pPr>
            <w:r>
              <w:t>0,8</w:t>
            </w:r>
          </w:p>
        </w:tc>
        <w:tc>
          <w:tcPr>
            <w:tcW w:w="1134" w:type="dxa"/>
            <w:tcBorders>
              <w:top w:val="nil"/>
              <w:bottom w:val="nil"/>
            </w:tcBorders>
          </w:tcPr>
          <w:p w:rsidR="007D35D3" w:rsidRDefault="007D35D3">
            <w:pPr>
              <w:pStyle w:val="ConsPlusNormal"/>
              <w:jc w:val="center"/>
            </w:pPr>
            <w:r>
              <w:t>0,8</w:t>
            </w:r>
          </w:p>
        </w:tc>
      </w:tr>
      <w:tr w:rsidR="007D35D3">
        <w:tc>
          <w:tcPr>
            <w:tcW w:w="737" w:type="dxa"/>
          </w:tcPr>
          <w:p w:rsidR="007D35D3" w:rsidRDefault="007D35D3">
            <w:pPr>
              <w:pStyle w:val="ConsPlusNormal"/>
              <w:jc w:val="both"/>
            </w:pPr>
            <w:r>
              <w:t>6</w:t>
            </w:r>
          </w:p>
        </w:tc>
        <w:tc>
          <w:tcPr>
            <w:tcW w:w="3061" w:type="dxa"/>
            <w:tcBorders>
              <w:top w:val="nil"/>
            </w:tcBorders>
          </w:tcPr>
          <w:p w:rsidR="007D35D3" w:rsidRDefault="007D35D3">
            <w:pPr>
              <w:pStyle w:val="ConsPlusNormal"/>
              <w:jc w:val="both"/>
            </w:pPr>
            <w:r>
              <w:t xml:space="preserve">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за исключением розничной торговли следующими ассортиментными группами товаров: </w:t>
            </w:r>
            <w:hyperlink w:anchor="P257" w:history="1">
              <w:r>
                <w:rPr>
                  <w:color w:val="0000FF"/>
                </w:rPr>
                <w:t>&lt;**&gt;</w:t>
              </w:r>
            </w:hyperlink>
          </w:p>
        </w:tc>
        <w:tc>
          <w:tcPr>
            <w:tcW w:w="2140" w:type="dxa"/>
            <w:tcBorders>
              <w:top w:val="nil"/>
            </w:tcBorders>
          </w:tcPr>
          <w:p w:rsidR="007D35D3" w:rsidRDefault="007D35D3">
            <w:pPr>
              <w:pStyle w:val="ConsPlusNormal"/>
              <w:jc w:val="center"/>
            </w:pPr>
            <w:r>
              <w:t>0,4</w:t>
            </w:r>
          </w:p>
        </w:tc>
        <w:tc>
          <w:tcPr>
            <w:tcW w:w="1699" w:type="dxa"/>
            <w:tcBorders>
              <w:top w:val="nil"/>
            </w:tcBorders>
          </w:tcPr>
          <w:p w:rsidR="007D35D3" w:rsidRDefault="007D35D3">
            <w:pPr>
              <w:pStyle w:val="ConsPlusNormal"/>
              <w:jc w:val="center"/>
            </w:pPr>
            <w:r>
              <w:t>0,4</w:t>
            </w:r>
          </w:p>
        </w:tc>
        <w:tc>
          <w:tcPr>
            <w:tcW w:w="2269" w:type="dxa"/>
            <w:tcBorders>
              <w:top w:val="nil"/>
            </w:tcBorders>
          </w:tcPr>
          <w:p w:rsidR="007D35D3" w:rsidRDefault="007D35D3">
            <w:pPr>
              <w:pStyle w:val="ConsPlusNormal"/>
              <w:jc w:val="center"/>
            </w:pPr>
            <w:r>
              <w:t>0,8</w:t>
            </w:r>
          </w:p>
        </w:tc>
        <w:tc>
          <w:tcPr>
            <w:tcW w:w="1134" w:type="dxa"/>
            <w:tcBorders>
              <w:top w:val="nil"/>
            </w:tcBorders>
          </w:tcPr>
          <w:p w:rsidR="007D35D3" w:rsidRDefault="007D35D3">
            <w:pPr>
              <w:pStyle w:val="ConsPlusNormal"/>
              <w:jc w:val="center"/>
            </w:pPr>
            <w:r>
              <w:t>1</w:t>
            </w:r>
          </w:p>
        </w:tc>
      </w:tr>
      <w:tr w:rsidR="007D35D3">
        <w:tc>
          <w:tcPr>
            <w:tcW w:w="737" w:type="dxa"/>
          </w:tcPr>
          <w:p w:rsidR="007D35D3" w:rsidRDefault="007D35D3">
            <w:pPr>
              <w:pStyle w:val="ConsPlusNormal"/>
              <w:jc w:val="both"/>
            </w:pPr>
            <w:r>
              <w:t>6.1</w:t>
            </w:r>
          </w:p>
        </w:tc>
        <w:tc>
          <w:tcPr>
            <w:tcW w:w="3061" w:type="dxa"/>
          </w:tcPr>
          <w:p w:rsidR="007D35D3" w:rsidRDefault="007D35D3">
            <w:pPr>
              <w:pStyle w:val="ConsPlusNormal"/>
              <w:jc w:val="both"/>
            </w:pPr>
            <w:r>
              <w:t>хлебом и хлебобулочными изделиями; молоком и молочной продукцией, плодоовощной продукцией</w:t>
            </w:r>
          </w:p>
        </w:tc>
        <w:tc>
          <w:tcPr>
            <w:tcW w:w="2140" w:type="dxa"/>
          </w:tcPr>
          <w:p w:rsidR="007D35D3" w:rsidRDefault="007D35D3">
            <w:pPr>
              <w:pStyle w:val="ConsPlusNormal"/>
              <w:jc w:val="center"/>
            </w:pPr>
            <w:r>
              <w:t>0,2</w:t>
            </w:r>
          </w:p>
        </w:tc>
        <w:tc>
          <w:tcPr>
            <w:tcW w:w="1699" w:type="dxa"/>
          </w:tcPr>
          <w:p w:rsidR="007D35D3" w:rsidRDefault="007D35D3">
            <w:pPr>
              <w:pStyle w:val="ConsPlusNormal"/>
              <w:jc w:val="center"/>
            </w:pPr>
            <w:r>
              <w:t>0,4</w:t>
            </w:r>
          </w:p>
        </w:tc>
        <w:tc>
          <w:tcPr>
            <w:tcW w:w="2269" w:type="dxa"/>
          </w:tcPr>
          <w:p w:rsidR="007D35D3" w:rsidRDefault="007D35D3">
            <w:pPr>
              <w:pStyle w:val="ConsPlusNormal"/>
              <w:jc w:val="center"/>
            </w:pPr>
            <w:r>
              <w:t>0,5</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lastRenderedPageBreak/>
              <w:t>6.2</w:t>
            </w:r>
          </w:p>
        </w:tc>
        <w:tc>
          <w:tcPr>
            <w:tcW w:w="3061" w:type="dxa"/>
          </w:tcPr>
          <w:p w:rsidR="007D35D3" w:rsidRDefault="007D35D3">
            <w:pPr>
              <w:pStyle w:val="ConsPlusNormal"/>
              <w:jc w:val="both"/>
            </w:pPr>
            <w:r>
              <w:t>печатной продукцией (книги, газеты, журналы, учебники и учебные пособия), детскими товарами (одежда, белье, обувь, детское питание), семенами и саженцами</w:t>
            </w:r>
          </w:p>
        </w:tc>
        <w:tc>
          <w:tcPr>
            <w:tcW w:w="2140" w:type="dxa"/>
          </w:tcPr>
          <w:p w:rsidR="007D35D3" w:rsidRDefault="007D35D3">
            <w:pPr>
              <w:pStyle w:val="ConsPlusNormal"/>
              <w:jc w:val="center"/>
            </w:pPr>
            <w:r>
              <w:t>0,3</w:t>
            </w:r>
          </w:p>
        </w:tc>
        <w:tc>
          <w:tcPr>
            <w:tcW w:w="1699" w:type="dxa"/>
          </w:tcPr>
          <w:p w:rsidR="007D35D3" w:rsidRDefault="007D35D3">
            <w:pPr>
              <w:pStyle w:val="ConsPlusNormal"/>
              <w:jc w:val="center"/>
            </w:pPr>
            <w:r>
              <w:t>0,6</w:t>
            </w:r>
          </w:p>
        </w:tc>
        <w:tc>
          <w:tcPr>
            <w:tcW w:w="2269" w:type="dxa"/>
          </w:tcPr>
          <w:p w:rsidR="007D35D3" w:rsidRDefault="007D35D3">
            <w:pPr>
              <w:pStyle w:val="ConsPlusNormal"/>
              <w:jc w:val="center"/>
            </w:pPr>
            <w:r>
              <w:t>0,7</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7</w:t>
            </w:r>
          </w:p>
        </w:tc>
        <w:tc>
          <w:tcPr>
            <w:tcW w:w="3061" w:type="dxa"/>
          </w:tcPr>
          <w:p w:rsidR="007D35D3" w:rsidRDefault="007D35D3">
            <w:pPr>
              <w:pStyle w:val="ConsPlusNormal"/>
              <w:jc w:val="both"/>
            </w:pPr>
            <w:r>
              <w:t>Розничная торговля, осуществляемая через объекты стационарной торговой сети, не имеющей торговых залов, а также объекты нестационарной торговой сети, в том числе:</w:t>
            </w:r>
          </w:p>
        </w:tc>
        <w:tc>
          <w:tcPr>
            <w:tcW w:w="2140" w:type="dxa"/>
          </w:tcPr>
          <w:p w:rsidR="007D35D3" w:rsidRDefault="007D35D3">
            <w:pPr>
              <w:pStyle w:val="ConsPlusNormal"/>
              <w:jc w:val="center"/>
            </w:pPr>
            <w:r>
              <w:t>-</w:t>
            </w:r>
          </w:p>
        </w:tc>
        <w:tc>
          <w:tcPr>
            <w:tcW w:w="1699" w:type="dxa"/>
          </w:tcPr>
          <w:p w:rsidR="007D35D3" w:rsidRDefault="007D35D3">
            <w:pPr>
              <w:pStyle w:val="ConsPlusNormal"/>
              <w:jc w:val="center"/>
            </w:pPr>
            <w:r>
              <w:t>-</w:t>
            </w:r>
          </w:p>
        </w:tc>
        <w:tc>
          <w:tcPr>
            <w:tcW w:w="2269" w:type="dxa"/>
          </w:tcPr>
          <w:p w:rsidR="007D35D3" w:rsidRDefault="007D35D3">
            <w:pPr>
              <w:pStyle w:val="ConsPlusNormal"/>
              <w:jc w:val="center"/>
            </w:pPr>
            <w:r>
              <w:t>-</w:t>
            </w:r>
          </w:p>
        </w:tc>
        <w:tc>
          <w:tcPr>
            <w:tcW w:w="1134" w:type="dxa"/>
          </w:tcPr>
          <w:p w:rsidR="007D35D3" w:rsidRDefault="007D35D3">
            <w:pPr>
              <w:pStyle w:val="ConsPlusNormal"/>
              <w:jc w:val="center"/>
            </w:pPr>
            <w:r>
              <w:t>-</w:t>
            </w:r>
          </w:p>
        </w:tc>
      </w:tr>
      <w:tr w:rsidR="007D35D3">
        <w:tc>
          <w:tcPr>
            <w:tcW w:w="737" w:type="dxa"/>
          </w:tcPr>
          <w:p w:rsidR="007D35D3" w:rsidRDefault="007D35D3">
            <w:pPr>
              <w:pStyle w:val="ConsPlusNormal"/>
              <w:jc w:val="both"/>
            </w:pPr>
            <w:r>
              <w:t>7.1</w:t>
            </w:r>
          </w:p>
        </w:tc>
        <w:tc>
          <w:tcPr>
            <w:tcW w:w="3061" w:type="dxa"/>
          </w:tcPr>
          <w:p w:rsidR="007D35D3" w:rsidRDefault="007D35D3">
            <w:pPr>
              <w:pStyle w:val="ConsPlusNormal"/>
              <w:jc w:val="both"/>
            </w:pPr>
            <w:proofErr w:type="gramStart"/>
            <w:r>
              <w:t>площадь торгового места</w:t>
            </w:r>
            <w:proofErr w:type="gramEnd"/>
            <w:r>
              <w:t xml:space="preserve"> в которых не превышает 5 квадратных метров</w:t>
            </w:r>
          </w:p>
        </w:tc>
        <w:tc>
          <w:tcPr>
            <w:tcW w:w="2140" w:type="dxa"/>
          </w:tcPr>
          <w:p w:rsidR="007D35D3" w:rsidRDefault="007D35D3">
            <w:pPr>
              <w:pStyle w:val="ConsPlusNormal"/>
              <w:jc w:val="center"/>
            </w:pPr>
            <w:r>
              <w:t>0,8</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7.2</w:t>
            </w:r>
          </w:p>
        </w:tc>
        <w:tc>
          <w:tcPr>
            <w:tcW w:w="3061" w:type="dxa"/>
          </w:tcPr>
          <w:p w:rsidR="007D35D3" w:rsidRDefault="007D35D3">
            <w:pPr>
              <w:pStyle w:val="ConsPlusNormal"/>
              <w:jc w:val="both"/>
            </w:pPr>
            <w:r>
              <w:t>площадь торгового места в которых превышает 5 квадратных метров</w:t>
            </w:r>
          </w:p>
        </w:tc>
        <w:tc>
          <w:tcPr>
            <w:tcW w:w="2140" w:type="dxa"/>
          </w:tcPr>
          <w:p w:rsidR="007D35D3" w:rsidRDefault="007D35D3">
            <w:pPr>
              <w:pStyle w:val="ConsPlusNormal"/>
              <w:jc w:val="center"/>
            </w:pPr>
            <w:r>
              <w:t>0,8</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7.3</w:t>
            </w:r>
          </w:p>
        </w:tc>
        <w:tc>
          <w:tcPr>
            <w:tcW w:w="3061" w:type="dxa"/>
          </w:tcPr>
          <w:p w:rsidR="007D35D3" w:rsidRDefault="007D35D3">
            <w:pPr>
              <w:pStyle w:val="ConsPlusNormal"/>
              <w:jc w:val="both"/>
            </w:pPr>
            <w:r>
              <w:t>развозная и разносная розничная торговля</w:t>
            </w:r>
          </w:p>
        </w:tc>
        <w:tc>
          <w:tcPr>
            <w:tcW w:w="2140" w:type="dxa"/>
          </w:tcPr>
          <w:p w:rsidR="007D35D3" w:rsidRDefault="007D35D3">
            <w:pPr>
              <w:pStyle w:val="ConsPlusNormal"/>
              <w:jc w:val="center"/>
            </w:pPr>
            <w:r>
              <w:t>0,8</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7.4</w:t>
            </w:r>
          </w:p>
        </w:tc>
        <w:tc>
          <w:tcPr>
            <w:tcW w:w="3061" w:type="dxa"/>
          </w:tcPr>
          <w:p w:rsidR="007D35D3" w:rsidRDefault="007D35D3">
            <w:pPr>
              <w:pStyle w:val="ConsPlusNormal"/>
              <w:jc w:val="both"/>
            </w:pPr>
            <w:r>
              <w:t>реализация товаров с использованием торговых автоматов</w:t>
            </w:r>
          </w:p>
        </w:tc>
        <w:tc>
          <w:tcPr>
            <w:tcW w:w="2140" w:type="dxa"/>
          </w:tcPr>
          <w:p w:rsidR="007D35D3" w:rsidRDefault="007D35D3">
            <w:pPr>
              <w:pStyle w:val="ConsPlusNormal"/>
              <w:jc w:val="center"/>
            </w:pPr>
            <w:r>
              <w:t>0,8</w:t>
            </w:r>
          </w:p>
        </w:tc>
        <w:tc>
          <w:tcPr>
            <w:tcW w:w="1699" w:type="dxa"/>
          </w:tcPr>
          <w:p w:rsidR="007D35D3" w:rsidRDefault="007D35D3">
            <w:pPr>
              <w:pStyle w:val="ConsPlusNormal"/>
              <w:jc w:val="center"/>
            </w:pPr>
            <w:r>
              <w:t>1</w:t>
            </w:r>
          </w:p>
        </w:tc>
        <w:tc>
          <w:tcPr>
            <w:tcW w:w="2269" w:type="dxa"/>
          </w:tcPr>
          <w:p w:rsidR="007D35D3" w:rsidRDefault="007D35D3">
            <w:pPr>
              <w:pStyle w:val="ConsPlusNormal"/>
              <w:jc w:val="center"/>
            </w:pPr>
            <w:r>
              <w:t>1</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8</w:t>
            </w:r>
          </w:p>
        </w:tc>
        <w:tc>
          <w:tcPr>
            <w:tcW w:w="3061" w:type="dxa"/>
          </w:tcPr>
          <w:p w:rsidR="007D35D3" w:rsidRDefault="007D35D3">
            <w:pPr>
              <w:pStyle w:val="ConsPlusNormal"/>
              <w:jc w:val="both"/>
            </w:pPr>
            <w:r>
              <w:t xml:space="preserve">Оказание услуг общественного питания, осуществляемых через объекты организации общественного питания с площадью зала обслуживания </w:t>
            </w:r>
            <w:r>
              <w:lastRenderedPageBreak/>
              <w:t>посетителей не более 150 квадратных метров по каждому объекту организации общественного питания, в том числе:</w:t>
            </w:r>
          </w:p>
        </w:tc>
        <w:tc>
          <w:tcPr>
            <w:tcW w:w="2140" w:type="dxa"/>
          </w:tcPr>
          <w:p w:rsidR="007D35D3" w:rsidRDefault="007D35D3">
            <w:pPr>
              <w:pStyle w:val="ConsPlusNormal"/>
              <w:jc w:val="center"/>
            </w:pPr>
            <w:r>
              <w:lastRenderedPageBreak/>
              <w:t>-</w:t>
            </w:r>
          </w:p>
        </w:tc>
        <w:tc>
          <w:tcPr>
            <w:tcW w:w="1699" w:type="dxa"/>
          </w:tcPr>
          <w:p w:rsidR="007D35D3" w:rsidRDefault="007D35D3">
            <w:pPr>
              <w:pStyle w:val="ConsPlusNormal"/>
              <w:jc w:val="center"/>
            </w:pPr>
            <w:r>
              <w:t>-</w:t>
            </w:r>
          </w:p>
        </w:tc>
        <w:tc>
          <w:tcPr>
            <w:tcW w:w="2269" w:type="dxa"/>
          </w:tcPr>
          <w:p w:rsidR="007D35D3" w:rsidRDefault="007D35D3">
            <w:pPr>
              <w:pStyle w:val="ConsPlusNormal"/>
              <w:jc w:val="center"/>
            </w:pPr>
            <w:r>
              <w:t>-</w:t>
            </w:r>
          </w:p>
        </w:tc>
        <w:tc>
          <w:tcPr>
            <w:tcW w:w="1134" w:type="dxa"/>
          </w:tcPr>
          <w:p w:rsidR="007D35D3" w:rsidRDefault="007D35D3">
            <w:pPr>
              <w:pStyle w:val="ConsPlusNormal"/>
              <w:jc w:val="center"/>
            </w:pPr>
            <w:r>
              <w:t>-</w:t>
            </w:r>
          </w:p>
        </w:tc>
      </w:tr>
      <w:tr w:rsidR="007D35D3">
        <w:tc>
          <w:tcPr>
            <w:tcW w:w="737" w:type="dxa"/>
          </w:tcPr>
          <w:p w:rsidR="007D35D3" w:rsidRDefault="007D35D3">
            <w:pPr>
              <w:pStyle w:val="ConsPlusNormal"/>
              <w:jc w:val="both"/>
            </w:pPr>
            <w:r>
              <w:lastRenderedPageBreak/>
              <w:t>8.1</w:t>
            </w:r>
          </w:p>
        </w:tc>
        <w:tc>
          <w:tcPr>
            <w:tcW w:w="3061" w:type="dxa"/>
          </w:tcPr>
          <w:p w:rsidR="007D35D3" w:rsidRDefault="007D35D3">
            <w:pPr>
              <w:pStyle w:val="ConsPlusNormal"/>
              <w:jc w:val="both"/>
            </w:pPr>
            <w:r>
              <w:t>для объектов общественного питания, не реализующих алкогольные напитки и (или) пиво</w:t>
            </w:r>
          </w:p>
        </w:tc>
        <w:tc>
          <w:tcPr>
            <w:tcW w:w="2140" w:type="dxa"/>
          </w:tcPr>
          <w:p w:rsidR="007D35D3" w:rsidRDefault="007D35D3">
            <w:pPr>
              <w:pStyle w:val="ConsPlusNormal"/>
              <w:jc w:val="center"/>
            </w:pPr>
            <w:r>
              <w:t>0,3</w:t>
            </w:r>
          </w:p>
        </w:tc>
        <w:tc>
          <w:tcPr>
            <w:tcW w:w="1699" w:type="dxa"/>
          </w:tcPr>
          <w:p w:rsidR="007D35D3" w:rsidRDefault="007D35D3">
            <w:pPr>
              <w:pStyle w:val="ConsPlusNormal"/>
              <w:jc w:val="center"/>
            </w:pPr>
            <w:r>
              <w:t>0,4</w:t>
            </w:r>
          </w:p>
        </w:tc>
        <w:tc>
          <w:tcPr>
            <w:tcW w:w="2269" w:type="dxa"/>
          </w:tcPr>
          <w:p w:rsidR="007D35D3" w:rsidRDefault="007D35D3">
            <w:pPr>
              <w:pStyle w:val="ConsPlusNormal"/>
              <w:jc w:val="center"/>
            </w:pPr>
            <w:r>
              <w:t>0,4</w:t>
            </w:r>
          </w:p>
        </w:tc>
        <w:tc>
          <w:tcPr>
            <w:tcW w:w="1134" w:type="dxa"/>
          </w:tcPr>
          <w:p w:rsidR="007D35D3" w:rsidRDefault="007D35D3">
            <w:pPr>
              <w:pStyle w:val="ConsPlusNormal"/>
              <w:jc w:val="center"/>
            </w:pPr>
            <w:r>
              <w:t>0,5</w:t>
            </w:r>
          </w:p>
        </w:tc>
      </w:tr>
      <w:tr w:rsidR="007D35D3">
        <w:tc>
          <w:tcPr>
            <w:tcW w:w="737" w:type="dxa"/>
          </w:tcPr>
          <w:p w:rsidR="007D35D3" w:rsidRDefault="007D35D3">
            <w:pPr>
              <w:pStyle w:val="ConsPlusNormal"/>
              <w:jc w:val="both"/>
            </w:pPr>
            <w:r>
              <w:t>8.2</w:t>
            </w:r>
          </w:p>
        </w:tc>
        <w:tc>
          <w:tcPr>
            <w:tcW w:w="3061" w:type="dxa"/>
          </w:tcPr>
          <w:p w:rsidR="007D35D3" w:rsidRDefault="007D35D3">
            <w:pPr>
              <w:pStyle w:val="ConsPlusNormal"/>
              <w:jc w:val="both"/>
            </w:pPr>
            <w:r>
              <w:t>для объектов общественного питания, реализующих алкогольные напитки и (или) пиво</w:t>
            </w:r>
          </w:p>
        </w:tc>
        <w:tc>
          <w:tcPr>
            <w:tcW w:w="2140" w:type="dxa"/>
          </w:tcPr>
          <w:p w:rsidR="007D35D3" w:rsidRDefault="007D35D3">
            <w:pPr>
              <w:pStyle w:val="ConsPlusNormal"/>
              <w:jc w:val="center"/>
            </w:pPr>
            <w:r>
              <w:t>0,6</w:t>
            </w:r>
          </w:p>
        </w:tc>
        <w:tc>
          <w:tcPr>
            <w:tcW w:w="1699" w:type="dxa"/>
          </w:tcPr>
          <w:p w:rsidR="007D35D3" w:rsidRDefault="007D35D3">
            <w:pPr>
              <w:pStyle w:val="ConsPlusNormal"/>
              <w:jc w:val="center"/>
            </w:pPr>
            <w:r>
              <w:t>0,8</w:t>
            </w:r>
          </w:p>
        </w:tc>
        <w:tc>
          <w:tcPr>
            <w:tcW w:w="2269" w:type="dxa"/>
          </w:tcPr>
          <w:p w:rsidR="007D35D3" w:rsidRDefault="007D35D3">
            <w:pPr>
              <w:pStyle w:val="ConsPlusNormal"/>
              <w:jc w:val="center"/>
            </w:pPr>
            <w:r>
              <w:t>0,8</w:t>
            </w:r>
          </w:p>
        </w:tc>
        <w:tc>
          <w:tcPr>
            <w:tcW w:w="1134" w:type="dxa"/>
          </w:tcPr>
          <w:p w:rsidR="007D35D3" w:rsidRDefault="007D35D3">
            <w:pPr>
              <w:pStyle w:val="ConsPlusNormal"/>
              <w:jc w:val="center"/>
            </w:pPr>
            <w:r>
              <w:t>1</w:t>
            </w:r>
          </w:p>
        </w:tc>
      </w:tr>
      <w:tr w:rsidR="007D35D3">
        <w:tc>
          <w:tcPr>
            <w:tcW w:w="737" w:type="dxa"/>
          </w:tcPr>
          <w:p w:rsidR="007D35D3" w:rsidRDefault="007D35D3">
            <w:pPr>
              <w:pStyle w:val="ConsPlusNormal"/>
              <w:jc w:val="both"/>
            </w:pPr>
            <w:r>
              <w:t>9</w:t>
            </w:r>
          </w:p>
        </w:tc>
        <w:tc>
          <w:tcPr>
            <w:tcW w:w="3061" w:type="dxa"/>
          </w:tcPr>
          <w:p w:rsidR="007D35D3" w:rsidRDefault="007D35D3">
            <w:pPr>
              <w:pStyle w:val="ConsPlusNormal"/>
              <w:jc w:val="both"/>
            </w:pPr>
            <w: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140" w:type="dxa"/>
          </w:tcPr>
          <w:p w:rsidR="007D35D3" w:rsidRDefault="007D35D3">
            <w:pPr>
              <w:pStyle w:val="ConsPlusNormal"/>
              <w:jc w:val="center"/>
            </w:pPr>
            <w:r>
              <w:t>0,4</w:t>
            </w:r>
          </w:p>
        </w:tc>
        <w:tc>
          <w:tcPr>
            <w:tcW w:w="1699" w:type="dxa"/>
          </w:tcPr>
          <w:p w:rsidR="007D35D3" w:rsidRDefault="007D35D3">
            <w:pPr>
              <w:pStyle w:val="ConsPlusNormal"/>
              <w:jc w:val="center"/>
            </w:pPr>
            <w:r>
              <w:t>0,6</w:t>
            </w:r>
          </w:p>
        </w:tc>
        <w:tc>
          <w:tcPr>
            <w:tcW w:w="2269" w:type="dxa"/>
          </w:tcPr>
          <w:p w:rsidR="007D35D3" w:rsidRDefault="007D35D3">
            <w:pPr>
              <w:pStyle w:val="ConsPlusNormal"/>
              <w:jc w:val="center"/>
            </w:pPr>
            <w:r>
              <w:t>0,6</w:t>
            </w:r>
          </w:p>
        </w:tc>
        <w:tc>
          <w:tcPr>
            <w:tcW w:w="1134" w:type="dxa"/>
          </w:tcPr>
          <w:p w:rsidR="007D35D3" w:rsidRDefault="007D35D3">
            <w:pPr>
              <w:pStyle w:val="ConsPlusNormal"/>
              <w:jc w:val="center"/>
            </w:pPr>
            <w:r>
              <w:t>0,7</w:t>
            </w:r>
          </w:p>
        </w:tc>
      </w:tr>
      <w:tr w:rsidR="007D35D3">
        <w:tc>
          <w:tcPr>
            <w:tcW w:w="737" w:type="dxa"/>
          </w:tcPr>
          <w:p w:rsidR="007D35D3" w:rsidRDefault="007D35D3">
            <w:pPr>
              <w:pStyle w:val="ConsPlusNormal"/>
              <w:jc w:val="both"/>
            </w:pPr>
            <w:r>
              <w:t>10</w:t>
            </w:r>
          </w:p>
        </w:tc>
        <w:tc>
          <w:tcPr>
            <w:tcW w:w="3061" w:type="dxa"/>
          </w:tcPr>
          <w:p w:rsidR="007D35D3" w:rsidRDefault="007D35D3">
            <w:pPr>
              <w:pStyle w:val="ConsPlusNormal"/>
              <w:jc w:val="both"/>
            </w:pPr>
            <w: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w:t>
            </w:r>
          </w:p>
        </w:tc>
        <w:tc>
          <w:tcPr>
            <w:tcW w:w="2140" w:type="dxa"/>
          </w:tcPr>
          <w:p w:rsidR="007D35D3" w:rsidRDefault="007D35D3">
            <w:pPr>
              <w:pStyle w:val="ConsPlusNormal"/>
              <w:jc w:val="center"/>
            </w:pPr>
            <w:r>
              <w:t>-</w:t>
            </w:r>
          </w:p>
        </w:tc>
        <w:tc>
          <w:tcPr>
            <w:tcW w:w="1699" w:type="dxa"/>
          </w:tcPr>
          <w:p w:rsidR="007D35D3" w:rsidRDefault="007D35D3">
            <w:pPr>
              <w:pStyle w:val="ConsPlusNormal"/>
              <w:jc w:val="center"/>
            </w:pPr>
            <w:r>
              <w:t>-</w:t>
            </w:r>
          </w:p>
        </w:tc>
        <w:tc>
          <w:tcPr>
            <w:tcW w:w="2269" w:type="dxa"/>
          </w:tcPr>
          <w:p w:rsidR="007D35D3" w:rsidRDefault="007D35D3">
            <w:pPr>
              <w:pStyle w:val="ConsPlusNormal"/>
              <w:jc w:val="center"/>
            </w:pPr>
            <w:r>
              <w:t>-</w:t>
            </w:r>
          </w:p>
        </w:tc>
        <w:tc>
          <w:tcPr>
            <w:tcW w:w="1134" w:type="dxa"/>
          </w:tcPr>
          <w:p w:rsidR="007D35D3" w:rsidRDefault="007D35D3">
            <w:pPr>
              <w:pStyle w:val="ConsPlusNormal"/>
              <w:jc w:val="center"/>
            </w:pPr>
            <w:r>
              <w:t>-</w:t>
            </w:r>
          </w:p>
        </w:tc>
      </w:tr>
      <w:tr w:rsidR="007D35D3">
        <w:tc>
          <w:tcPr>
            <w:tcW w:w="737" w:type="dxa"/>
          </w:tcPr>
          <w:p w:rsidR="007D35D3" w:rsidRDefault="007D35D3">
            <w:pPr>
              <w:pStyle w:val="ConsPlusNormal"/>
              <w:jc w:val="both"/>
            </w:pPr>
            <w:r>
              <w:t>10.1</w:t>
            </w:r>
          </w:p>
        </w:tc>
        <w:tc>
          <w:tcPr>
            <w:tcW w:w="3061" w:type="dxa"/>
          </w:tcPr>
          <w:p w:rsidR="007D35D3" w:rsidRDefault="007D35D3">
            <w:pPr>
              <w:pStyle w:val="ConsPlusNormal"/>
              <w:jc w:val="both"/>
            </w:pPr>
            <w:r>
              <w:t>не более 250 квадратных метров</w:t>
            </w:r>
          </w:p>
        </w:tc>
        <w:tc>
          <w:tcPr>
            <w:tcW w:w="2140" w:type="dxa"/>
          </w:tcPr>
          <w:p w:rsidR="007D35D3" w:rsidRDefault="007D35D3">
            <w:pPr>
              <w:pStyle w:val="ConsPlusNormal"/>
              <w:jc w:val="center"/>
            </w:pPr>
            <w:r>
              <w:t xml:space="preserve">0,3 </w:t>
            </w:r>
            <w:hyperlink w:anchor="P258" w:history="1">
              <w:r>
                <w:rPr>
                  <w:color w:val="0000FF"/>
                </w:rPr>
                <w:t>&lt;***&gt;</w:t>
              </w:r>
            </w:hyperlink>
          </w:p>
        </w:tc>
        <w:tc>
          <w:tcPr>
            <w:tcW w:w="1699" w:type="dxa"/>
          </w:tcPr>
          <w:p w:rsidR="007D35D3" w:rsidRDefault="007D35D3">
            <w:pPr>
              <w:pStyle w:val="ConsPlusNormal"/>
              <w:jc w:val="center"/>
            </w:pPr>
            <w:r>
              <w:t>0,6</w:t>
            </w:r>
            <w:hyperlink w:anchor="P258" w:history="1">
              <w:r>
                <w:rPr>
                  <w:color w:val="0000FF"/>
                </w:rPr>
                <w:t>&lt;***&gt;</w:t>
              </w:r>
            </w:hyperlink>
          </w:p>
        </w:tc>
        <w:tc>
          <w:tcPr>
            <w:tcW w:w="2269" w:type="dxa"/>
          </w:tcPr>
          <w:p w:rsidR="007D35D3" w:rsidRDefault="007D35D3">
            <w:pPr>
              <w:pStyle w:val="ConsPlusNormal"/>
              <w:jc w:val="center"/>
            </w:pPr>
            <w:r>
              <w:t>0,6</w:t>
            </w:r>
            <w:hyperlink w:anchor="P258" w:history="1">
              <w:r>
                <w:rPr>
                  <w:color w:val="0000FF"/>
                </w:rPr>
                <w:t>&lt;***&gt;</w:t>
              </w:r>
            </w:hyperlink>
          </w:p>
        </w:tc>
        <w:tc>
          <w:tcPr>
            <w:tcW w:w="1134" w:type="dxa"/>
          </w:tcPr>
          <w:p w:rsidR="007D35D3" w:rsidRDefault="007D35D3">
            <w:pPr>
              <w:pStyle w:val="ConsPlusNormal"/>
              <w:jc w:val="center"/>
            </w:pPr>
            <w:r>
              <w:t>0,6</w:t>
            </w:r>
            <w:hyperlink w:anchor="P258" w:history="1">
              <w:r>
                <w:rPr>
                  <w:color w:val="0000FF"/>
                </w:rPr>
                <w:t>&lt;***&gt;</w:t>
              </w:r>
            </w:hyperlink>
          </w:p>
        </w:tc>
      </w:tr>
      <w:tr w:rsidR="007D35D3">
        <w:tc>
          <w:tcPr>
            <w:tcW w:w="737" w:type="dxa"/>
          </w:tcPr>
          <w:p w:rsidR="007D35D3" w:rsidRDefault="007D35D3">
            <w:pPr>
              <w:pStyle w:val="ConsPlusNormal"/>
              <w:jc w:val="both"/>
            </w:pPr>
            <w:r>
              <w:lastRenderedPageBreak/>
              <w:t>10.2</w:t>
            </w:r>
          </w:p>
        </w:tc>
        <w:tc>
          <w:tcPr>
            <w:tcW w:w="3061" w:type="dxa"/>
          </w:tcPr>
          <w:p w:rsidR="007D35D3" w:rsidRDefault="007D35D3">
            <w:pPr>
              <w:pStyle w:val="ConsPlusNormal"/>
              <w:jc w:val="both"/>
            </w:pPr>
            <w:r>
              <w:t>более 250 квадратных метров</w:t>
            </w:r>
          </w:p>
        </w:tc>
        <w:tc>
          <w:tcPr>
            <w:tcW w:w="2140" w:type="dxa"/>
          </w:tcPr>
          <w:p w:rsidR="007D35D3" w:rsidRDefault="007D35D3">
            <w:pPr>
              <w:pStyle w:val="ConsPlusNormal"/>
              <w:jc w:val="center"/>
            </w:pPr>
            <w:r>
              <w:t>0,2</w:t>
            </w:r>
            <w:hyperlink w:anchor="P258" w:history="1">
              <w:r>
                <w:rPr>
                  <w:color w:val="0000FF"/>
                </w:rPr>
                <w:t>&lt;***&gt;</w:t>
              </w:r>
            </w:hyperlink>
          </w:p>
        </w:tc>
        <w:tc>
          <w:tcPr>
            <w:tcW w:w="1699" w:type="dxa"/>
          </w:tcPr>
          <w:p w:rsidR="007D35D3" w:rsidRDefault="007D35D3">
            <w:pPr>
              <w:pStyle w:val="ConsPlusNormal"/>
              <w:jc w:val="center"/>
            </w:pPr>
            <w:r>
              <w:t>0,4</w:t>
            </w:r>
            <w:hyperlink w:anchor="P258" w:history="1">
              <w:r>
                <w:rPr>
                  <w:color w:val="0000FF"/>
                </w:rPr>
                <w:t>&lt;***&gt;</w:t>
              </w:r>
            </w:hyperlink>
          </w:p>
        </w:tc>
        <w:tc>
          <w:tcPr>
            <w:tcW w:w="2269" w:type="dxa"/>
          </w:tcPr>
          <w:p w:rsidR="007D35D3" w:rsidRDefault="007D35D3">
            <w:pPr>
              <w:pStyle w:val="ConsPlusNormal"/>
              <w:jc w:val="center"/>
            </w:pPr>
            <w:r>
              <w:t>0,4</w:t>
            </w:r>
            <w:hyperlink w:anchor="P258" w:history="1">
              <w:r>
                <w:rPr>
                  <w:color w:val="0000FF"/>
                </w:rPr>
                <w:t>&lt;***&gt;</w:t>
              </w:r>
            </w:hyperlink>
          </w:p>
        </w:tc>
        <w:tc>
          <w:tcPr>
            <w:tcW w:w="1134" w:type="dxa"/>
          </w:tcPr>
          <w:p w:rsidR="007D35D3" w:rsidRDefault="007D35D3">
            <w:pPr>
              <w:pStyle w:val="ConsPlusNormal"/>
              <w:jc w:val="center"/>
            </w:pPr>
            <w:r>
              <w:t>0,4</w:t>
            </w:r>
            <w:hyperlink w:anchor="P258" w:history="1">
              <w:r>
                <w:rPr>
                  <w:color w:val="0000FF"/>
                </w:rPr>
                <w:t>&lt;***&gt;</w:t>
              </w:r>
            </w:hyperlink>
          </w:p>
        </w:tc>
      </w:tr>
      <w:tr w:rsidR="007D35D3">
        <w:tc>
          <w:tcPr>
            <w:tcW w:w="11040" w:type="dxa"/>
            <w:gridSpan w:val="6"/>
          </w:tcPr>
          <w:p w:rsidR="007D35D3" w:rsidRDefault="007D35D3">
            <w:pPr>
              <w:pStyle w:val="ConsPlusNormal"/>
              <w:jc w:val="both"/>
            </w:pPr>
            <w:r>
              <w:t>--------------------------------</w:t>
            </w:r>
          </w:p>
          <w:p w:rsidR="007D35D3" w:rsidRDefault="007D35D3">
            <w:pPr>
              <w:pStyle w:val="ConsPlusNormal"/>
              <w:jc w:val="both"/>
            </w:pPr>
            <w:bookmarkStart w:id="1" w:name="P256"/>
            <w:bookmarkEnd w:id="1"/>
            <w:r>
              <w:t xml:space="preserve">&lt;*&gt; Зона А: Ленинский муниципальный округ: улица Ленина, улица Большая Морская, улица Одесская, улица 4-я Бастионная, набережная Корнилова, набережная Клокачева, улица Айвазовского, проспект Нахимова, площадь Нахимова, площадь 300-летия Российского Флота, набережная Адмирала </w:t>
            </w:r>
            <w:proofErr w:type="spellStart"/>
            <w:r>
              <w:t>Перелешина</w:t>
            </w:r>
            <w:proofErr w:type="spellEnd"/>
            <w:r>
              <w:t xml:space="preserve">, Приморский бульвар, площадь Лазарева, площадь Ушакова, площадь Суворова, улица </w:t>
            </w:r>
            <w:proofErr w:type="spellStart"/>
            <w:r>
              <w:t>Очаковцев</w:t>
            </w:r>
            <w:proofErr w:type="spellEnd"/>
            <w:r>
              <w:t xml:space="preserve">, площадь Восставших. Гагаринский муниципальный округ: парк Победы, проспект Парковый, проспект Октябрьской Революции, проспект Героев Сталинграда. Балаклавский муниципальный округ: набережная </w:t>
            </w:r>
            <w:proofErr w:type="spellStart"/>
            <w:r>
              <w:t>Назукина</w:t>
            </w:r>
            <w:proofErr w:type="spellEnd"/>
            <w:r>
              <w:t>.</w:t>
            </w:r>
          </w:p>
          <w:p w:rsidR="007D35D3" w:rsidRDefault="007D35D3">
            <w:pPr>
              <w:pStyle w:val="ConsPlusNormal"/>
              <w:jc w:val="both"/>
            </w:pPr>
            <w:bookmarkStart w:id="2" w:name="P257"/>
            <w:bookmarkEnd w:id="2"/>
            <w:r>
              <w:t>&lt;**&gt; При реализации в торговой точке товаров различного ассортимента применяется значение корректирующего коэффициента базовой доходности группы товаров, занимающей наибольший удельный вес в товарообороте.</w:t>
            </w:r>
          </w:p>
          <w:p w:rsidR="007D35D3" w:rsidRDefault="007D35D3">
            <w:pPr>
              <w:pStyle w:val="ConsPlusNormal"/>
              <w:jc w:val="both"/>
            </w:pPr>
            <w:bookmarkStart w:id="3" w:name="P258"/>
            <w:bookmarkEnd w:id="3"/>
            <w:r>
              <w:t>&lt;***&gt; Учитывая влияния сезонного фактора на оказания услуг по временному размещению и проживанию, значение коэффициента К2 в период времени с 1 июля по 30 сентября увеличивается в 1,5 раза, при этом значение К2 не должно превышать 1</w:t>
            </w:r>
          </w:p>
        </w:tc>
      </w:tr>
    </w:tbl>
    <w:p w:rsidR="007D35D3" w:rsidRDefault="007D35D3">
      <w:pPr>
        <w:pStyle w:val="ConsPlusNormal"/>
        <w:ind w:firstLine="540"/>
        <w:jc w:val="both"/>
      </w:pPr>
    </w:p>
    <w:p w:rsidR="007D35D3" w:rsidRDefault="007D35D3">
      <w:pPr>
        <w:pStyle w:val="ConsPlusNormal"/>
        <w:ind w:firstLine="540"/>
        <w:jc w:val="both"/>
      </w:pPr>
      <w:r>
        <w:t>2. Для налогоплательщиков единого налога на вмененный доход, осуществляющих деятельность по распространению наружной рекламы, установить следующие значения корректирующих коэффициентов базовой доходности К2:</w:t>
      </w:r>
    </w:p>
    <w:p w:rsidR="007D35D3" w:rsidRDefault="007D35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1020"/>
        <w:gridCol w:w="1077"/>
        <w:gridCol w:w="1134"/>
        <w:gridCol w:w="1134"/>
        <w:gridCol w:w="1247"/>
      </w:tblGrid>
      <w:tr w:rsidR="007D35D3">
        <w:tc>
          <w:tcPr>
            <w:tcW w:w="737" w:type="dxa"/>
          </w:tcPr>
          <w:p w:rsidR="007D35D3" w:rsidRDefault="007D35D3">
            <w:pPr>
              <w:pStyle w:val="ConsPlusNormal"/>
              <w:jc w:val="center"/>
            </w:pPr>
            <w:r>
              <w:t>N п/п</w:t>
            </w:r>
          </w:p>
        </w:tc>
        <w:tc>
          <w:tcPr>
            <w:tcW w:w="3288" w:type="dxa"/>
          </w:tcPr>
          <w:p w:rsidR="007D35D3" w:rsidRDefault="007D35D3">
            <w:pPr>
              <w:pStyle w:val="ConsPlusNormal"/>
              <w:jc w:val="center"/>
            </w:pPr>
            <w:r>
              <w:t>Вид деятельности</w:t>
            </w:r>
          </w:p>
        </w:tc>
        <w:tc>
          <w:tcPr>
            <w:tcW w:w="1020" w:type="dxa"/>
          </w:tcPr>
          <w:p w:rsidR="007D35D3" w:rsidRDefault="007D35D3">
            <w:pPr>
              <w:pStyle w:val="ConsPlusNormal"/>
              <w:jc w:val="center"/>
            </w:pPr>
            <w:r>
              <w:t xml:space="preserve">Зона 1 </w:t>
            </w:r>
            <w:hyperlink w:anchor="P305" w:history="1">
              <w:r>
                <w:rPr>
                  <w:color w:val="0000FF"/>
                </w:rPr>
                <w:t>&lt;*&gt;</w:t>
              </w:r>
            </w:hyperlink>
          </w:p>
        </w:tc>
        <w:tc>
          <w:tcPr>
            <w:tcW w:w="1077" w:type="dxa"/>
          </w:tcPr>
          <w:p w:rsidR="007D35D3" w:rsidRDefault="007D35D3">
            <w:pPr>
              <w:pStyle w:val="ConsPlusNormal"/>
              <w:jc w:val="center"/>
            </w:pPr>
            <w:r>
              <w:t xml:space="preserve">Зона 2 </w:t>
            </w:r>
            <w:hyperlink w:anchor="P306" w:history="1">
              <w:r>
                <w:rPr>
                  <w:color w:val="0000FF"/>
                </w:rPr>
                <w:t>&lt;**&gt;</w:t>
              </w:r>
            </w:hyperlink>
          </w:p>
        </w:tc>
        <w:tc>
          <w:tcPr>
            <w:tcW w:w="1134" w:type="dxa"/>
          </w:tcPr>
          <w:p w:rsidR="007D35D3" w:rsidRDefault="007D35D3">
            <w:pPr>
              <w:pStyle w:val="ConsPlusNormal"/>
              <w:jc w:val="center"/>
            </w:pPr>
            <w:r>
              <w:t xml:space="preserve">Зона 3 </w:t>
            </w:r>
            <w:hyperlink w:anchor="P307" w:history="1">
              <w:r>
                <w:rPr>
                  <w:color w:val="0000FF"/>
                </w:rPr>
                <w:t>&lt;***&gt;</w:t>
              </w:r>
            </w:hyperlink>
          </w:p>
        </w:tc>
        <w:tc>
          <w:tcPr>
            <w:tcW w:w="1134" w:type="dxa"/>
          </w:tcPr>
          <w:p w:rsidR="007D35D3" w:rsidRDefault="007D35D3">
            <w:pPr>
              <w:pStyle w:val="ConsPlusNormal"/>
              <w:jc w:val="center"/>
            </w:pPr>
            <w:r>
              <w:t xml:space="preserve">Зона 4 </w:t>
            </w:r>
            <w:hyperlink w:anchor="P308" w:history="1">
              <w:r>
                <w:rPr>
                  <w:color w:val="0000FF"/>
                </w:rPr>
                <w:t>&lt;****&gt;</w:t>
              </w:r>
            </w:hyperlink>
          </w:p>
        </w:tc>
        <w:tc>
          <w:tcPr>
            <w:tcW w:w="1247" w:type="dxa"/>
          </w:tcPr>
          <w:p w:rsidR="007D35D3" w:rsidRDefault="007D35D3">
            <w:pPr>
              <w:pStyle w:val="ConsPlusNormal"/>
              <w:jc w:val="center"/>
            </w:pPr>
            <w:r>
              <w:t xml:space="preserve">Зона 5 </w:t>
            </w:r>
            <w:hyperlink w:anchor="P309" w:history="1">
              <w:r>
                <w:rPr>
                  <w:color w:val="0000FF"/>
                </w:rPr>
                <w:t>&lt;*****&gt;</w:t>
              </w:r>
            </w:hyperlink>
          </w:p>
        </w:tc>
      </w:tr>
      <w:tr w:rsidR="007D35D3">
        <w:tc>
          <w:tcPr>
            <w:tcW w:w="737" w:type="dxa"/>
          </w:tcPr>
          <w:p w:rsidR="007D35D3" w:rsidRDefault="007D35D3">
            <w:pPr>
              <w:pStyle w:val="ConsPlusNormal"/>
              <w:jc w:val="both"/>
            </w:pPr>
            <w:r>
              <w:t>1</w:t>
            </w:r>
          </w:p>
        </w:tc>
        <w:tc>
          <w:tcPr>
            <w:tcW w:w="3288" w:type="dxa"/>
          </w:tcPr>
          <w:p w:rsidR="007D35D3" w:rsidRDefault="007D35D3">
            <w:pPr>
              <w:pStyle w:val="ConsPlusNormal"/>
              <w:jc w:val="both"/>
            </w:pPr>
            <w:r>
              <w:t>Распространение наружной рекламы с использованием рекламных конструкций, в том числе:</w:t>
            </w:r>
          </w:p>
        </w:tc>
        <w:tc>
          <w:tcPr>
            <w:tcW w:w="1020" w:type="dxa"/>
          </w:tcPr>
          <w:p w:rsidR="007D35D3" w:rsidRDefault="007D35D3">
            <w:pPr>
              <w:pStyle w:val="ConsPlusNormal"/>
              <w:jc w:val="center"/>
            </w:pPr>
            <w:r>
              <w:t>-</w:t>
            </w:r>
          </w:p>
        </w:tc>
        <w:tc>
          <w:tcPr>
            <w:tcW w:w="1077" w:type="dxa"/>
          </w:tcPr>
          <w:p w:rsidR="007D35D3" w:rsidRDefault="007D35D3">
            <w:pPr>
              <w:pStyle w:val="ConsPlusNormal"/>
              <w:jc w:val="center"/>
            </w:pPr>
            <w:r>
              <w:t>-</w:t>
            </w:r>
          </w:p>
        </w:tc>
        <w:tc>
          <w:tcPr>
            <w:tcW w:w="1134" w:type="dxa"/>
          </w:tcPr>
          <w:p w:rsidR="007D35D3" w:rsidRDefault="007D35D3">
            <w:pPr>
              <w:pStyle w:val="ConsPlusNormal"/>
              <w:jc w:val="center"/>
            </w:pPr>
            <w:r>
              <w:t>-</w:t>
            </w:r>
          </w:p>
        </w:tc>
        <w:tc>
          <w:tcPr>
            <w:tcW w:w="1134" w:type="dxa"/>
          </w:tcPr>
          <w:p w:rsidR="007D35D3" w:rsidRDefault="007D35D3">
            <w:pPr>
              <w:pStyle w:val="ConsPlusNormal"/>
              <w:jc w:val="center"/>
            </w:pPr>
            <w:r>
              <w:t>-</w:t>
            </w:r>
          </w:p>
        </w:tc>
        <w:tc>
          <w:tcPr>
            <w:tcW w:w="1247" w:type="dxa"/>
          </w:tcPr>
          <w:p w:rsidR="007D35D3" w:rsidRDefault="007D35D3">
            <w:pPr>
              <w:pStyle w:val="ConsPlusNormal"/>
              <w:jc w:val="center"/>
            </w:pPr>
            <w:r>
              <w:t>-</w:t>
            </w:r>
          </w:p>
        </w:tc>
      </w:tr>
      <w:tr w:rsidR="007D35D3">
        <w:tc>
          <w:tcPr>
            <w:tcW w:w="737" w:type="dxa"/>
          </w:tcPr>
          <w:p w:rsidR="007D35D3" w:rsidRDefault="007D35D3">
            <w:pPr>
              <w:pStyle w:val="ConsPlusNormal"/>
              <w:jc w:val="both"/>
            </w:pPr>
            <w:r>
              <w:t>1.1</w:t>
            </w:r>
          </w:p>
        </w:tc>
        <w:tc>
          <w:tcPr>
            <w:tcW w:w="3288" w:type="dxa"/>
          </w:tcPr>
          <w:p w:rsidR="007D35D3" w:rsidRDefault="007D35D3">
            <w:pPr>
              <w:pStyle w:val="ConsPlusNormal"/>
              <w:jc w:val="both"/>
            </w:pPr>
            <w:r>
              <w:t>распространение наружной рекламы с использованием электронных табло</w:t>
            </w:r>
          </w:p>
        </w:tc>
        <w:tc>
          <w:tcPr>
            <w:tcW w:w="1020" w:type="dxa"/>
          </w:tcPr>
          <w:p w:rsidR="007D35D3" w:rsidRDefault="007D35D3">
            <w:pPr>
              <w:pStyle w:val="ConsPlusNormal"/>
              <w:jc w:val="center"/>
            </w:pPr>
            <w:r>
              <w:t>1</w:t>
            </w:r>
          </w:p>
        </w:tc>
        <w:tc>
          <w:tcPr>
            <w:tcW w:w="1077" w:type="dxa"/>
          </w:tcPr>
          <w:p w:rsidR="007D35D3" w:rsidRDefault="007D35D3">
            <w:pPr>
              <w:pStyle w:val="ConsPlusNormal"/>
              <w:jc w:val="center"/>
            </w:pPr>
            <w:r>
              <w:t>0,7</w:t>
            </w:r>
          </w:p>
        </w:tc>
        <w:tc>
          <w:tcPr>
            <w:tcW w:w="1134" w:type="dxa"/>
          </w:tcPr>
          <w:p w:rsidR="007D35D3" w:rsidRDefault="007D35D3">
            <w:pPr>
              <w:pStyle w:val="ConsPlusNormal"/>
              <w:jc w:val="center"/>
            </w:pPr>
            <w:r>
              <w:t>0,5</w:t>
            </w:r>
          </w:p>
        </w:tc>
        <w:tc>
          <w:tcPr>
            <w:tcW w:w="1134" w:type="dxa"/>
          </w:tcPr>
          <w:p w:rsidR="007D35D3" w:rsidRDefault="007D35D3">
            <w:pPr>
              <w:pStyle w:val="ConsPlusNormal"/>
              <w:jc w:val="center"/>
            </w:pPr>
            <w:r>
              <w:t>0,4</w:t>
            </w:r>
          </w:p>
        </w:tc>
        <w:tc>
          <w:tcPr>
            <w:tcW w:w="1247" w:type="dxa"/>
          </w:tcPr>
          <w:p w:rsidR="007D35D3" w:rsidRDefault="007D35D3">
            <w:pPr>
              <w:pStyle w:val="ConsPlusNormal"/>
              <w:jc w:val="center"/>
            </w:pPr>
            <w:r>
              <w:t>0,3</w:t>
            </w:r>
          </w:p>
        </w:tc>
      </w:tr>
      <w:tr w:rsidR="007D35D3">
        <w:tc>
          <w:tcPr>
            <w:tcW w:w="737" w:type="dxa"/>
          </w:tcPr>
          <w:p w:rsidR="007D35D3" w:rsidRDefault="007D35D3">
            <w:pPr>
              <w:pStyle w:val="ConsPlusNormal"/>
              <w:jc w:val="both"/>
            </w:pPr>
            <w:r>
              <w:t>1.2</w:t>
            </w:r>
          </w:p>
        </w:tc>
        <w:tc>
          <w:tcPr>
            <w:tcW w:w="3288" w:type="dxa"/>
          </w:tcPr>
          <w:p w:rsidR="007D35D3" w:rsidRDefault="007D35D3">
            <w:pPr>
              <w:pStyle w:val="ConsPlusNormal"/>
              <w:jc w:val="both"/>
            </w:pPr>
            <w:r>
              <w:t xml:space="preserve">распространение наружной рекламы с использованием рекламных конструкций с </w:t>
            </w:r>
            <w:r>
              <w:lastRenderedPageBreak/>
              <w:t>автоматической сменой изображения</w:t>
            </w:r>
          </w:p>
        </w:tc>
        <w:tc>
          <w:tcPr>
            <w:tcW w:w="1020" w:type="dxa"/>
          </w:tcPr>
          <w:p w:rsidR="007D35D3" w:rsidRDefault="007D35D3">
            <w:pPr>
              <w:pStyle w:val="ConsPlusNormal"/>
              <w:jc w:val="center"/>
            </w:pPr>
            <w:r>
              <w:lastRenderedPageBreak/>
              <w:t>0,7</w:t>
            </w:r>
          </w:p>
        </w:tc>
        <w:tc>
          <w:tcPr>
            <w:tcW w:w="1077" w:type="dxa"/>
          </w:tcPr>
          <w:p w:rsidR="007D35D3" w:rsidRDefault="007D35D3">
            <w:pPr>
              <w:pStyle w:val="ConsPlusNormal"/>
              <w:jc w:val="center"/>
            </w:pPr>
            <w:r>
              <w:t>0,5</w:t>
            </w:r>
          </w:p>
        </w:tc>
        <w:tc>
          <w:tcPr>
            <w:tcW w:w="1134" w:type="dxa"/>
          </w:tcPr>
          <w:p w:rsidR="007D35D3" w:rsidRDefault="007D35D3">
            <w:pPr>
              <w:pStyle w:val="ConsPlusNormal"/>
              <w:jc w:val="center"/>
            </w:pPr>
            <w:r>
              <w:t>0,4</w:t>
            </w:r>
          </w:p>
        </w:tc>
        <w:tc>
          <w:tcPr>
            <w:tcW w:w="1134" w:type="dxa"/>
          </w:tcPr>
          <w:p w:rsidR="007D35D3" w:rsidRDefault="007D35D3">
            <w:pPr>
              <w:pStyle w:val="ConsPlusNormal"/>
              <w:jc w:val="center"/>
            </w:pPr>
            <w:r>
              <w:t>0,3</w:t>
            </w:r>
          </w:p>
        </w:tc>
        <w:tc>
          <w:tcPr>
            <w:tcW w:w="1247" w:type="dxa"/>
          </w:tcPr>
          <w:p w:rsidR="007D35D3" w:rsidRDefault="007D35D3">
            <w:pPr>
              <w:pStyle w:val="ConsPlusNormal"/>
              <w:jc w:val="center"/>
            </w:pPr>
            <w:r>
              <w:t>0,2</w:t>
            </w:r>
          </w:p>
        </w:tc>
      </w:tr>
      <w:tr w:rsidR="007D35D3">
        <w:tc>
          <w:tcPr>
            <w:tcW w:w="737" w:type="dxa"/>
          </w:tcPr>
          <w:p w:rsidR="007D35D3" w:rsidRDefault="007D35D3">
            <w:pPr>
              <w:pStyle w:val="ConsPlusNormal"/>
              <w:jc w:val="both"/>
            </w:pPr>
            <w:r>
              <w:lastRenderedPageBreak/>
              <w:t>1.3</w:t>
            </w:r>
          </w:p>
        </w:tc>
        <w:tc>
          <w:tcPr>
            <w:tcW w:w="3288" w:type="dxa"/>
          </w:tcPr>
          <w:p w:rsidR="007D35D3" w:rsidRDefault="007D35D3">
            <w:pPr>
              <w:pStyle w:val="ConsPlusNormal"/>
              <w:jc w:val="both"/>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020" w:type="dxa"/>
          </w:tcPr>
          <w:p w:rsidR="007D35D3" w:rsidRDefault="007D35D3">
            <w:pPr>
              <w:pStyle w:val="ConsPlusNormal"/>
              <w:jc w:val="center"/>
            </w:pPr>
            <w:r>
              <w:t>0,6</w:t>
            </w:r>
          </w:p>
        </w:tc>
        <w:tc>
          <w:tcPr>
            <w:tcW w:w="1077" w:type="dxa"/>
          </w:tcPr>
          <w:p w:rsidR="007D35D3" w:rsidRDefault="007D35D3">
            <w:pPr>
              <w:pStyle w:val="ConsPlusNormal"/>
              <w:jc w:val="center"/>
            </w:pPr>
            <w:r>
              <w:t>0,4</w:t>
            </w:r>
          </w:p>
        </w:tc>
        <w:tc>
          <w:tcPr>
            <w:tcW w:w="1134" w:type="dxa"/>
          </w:tcPr>
          <w:p w:rsidR="007D35D3" w:rsidRDefault="007D35D3">
            <w:pPr>
              <w:pStyle w:val="ConsPlusNormal"/>
              <w:jc w:val="center"/>
            </w:pPr>
            <w:r>
              <w:t>0,3</w:t>
            </w:r>
          </w:p>
        </w:tc>
        <w:tc>
          <w:tcPr>
            <w:tcW w:w="1134" w:type="dxa"/>
          </w:tcPr>
          <w:p w:rsidR="007D35D3" w:rsidRDefault="007D35D3">
            <w:pPr>
              <w:pStyle w:val="ConsPlusNormal"/>
              <w:jc w:val="center"/>
            </w:pPr>
            <w:r>
              <w:t>0,2</w:t>
            </w:r>
          </w:p>
        </w:tc>
        <w:tc>
          <w:tcPr>
            <w:tcW w:w="1247" w:type="dxa"/>
          </w:tcPr>
          <w:p w:rsidR="007D35D3" w:rsidRDefault="007D35D3">
            <w:pPr>
              <w:pStyle w:val="ConsPlusNormal"/>
              <w:jc w:val="center"/>
            </w:pPr>
            <w:r>
              <w:t>0,2</w:t>
            </w:r>
          </w:p>
        </w:tc>
      </w:tr>
      <w:tr w:rsidR="007D35D3">
        <w:tc>
          <w:tcPr>
            <w:tcW w:w="737" w:type="dxa"/>
          </w:tcPr>
          <w:p w:rsidR="007D35D3" w:rsidRDefault="007D35D3">
            <w:pPr>
              <w:pStyle w:val="ConsPlusNormal"/>
              <w:jc w:val="both"/>
            </w:pPr>
            <w:r>
              <w:t>2</w:t>
            </w:r>
          </w:p>
        </w:tc>
        <w:tc>
          <w:tcPr>
            <w:tcW w:w="3288" w:type="dxa"/>
          </w:tcPr>
          <w:p w:rsidR="007D35D3" w:rsidRDefault="007D35D3">
            <w:pPr>
              <w:pStyle w:val="ConsPlusNormal"/>
              <w:jc w:val="both"/>
            </w:pPr>
            <w:r>
              <w:t>Размещение рекламы с использованием внешних и внутренних поверхностей транспортных средств</w:t>
            </w:r>
          </w:p>
        </w:tc>
        <w:tc>
          <w:tcPr>
            <w:tcW w:w="1020" w:type="dxa"/>
          </w:tcPr>
          <w:p w:rsidR="007D35D3" w:rsidRDefault="007D35D3">
            <w:pPr>
              <w:pStyle w:val="ConsPlusNormal"/>
              <w:jc w:val="center"/>
            </w:pPr>
            <w:r>
              <w:t>0,5</w:t>
            </w:r>
          </w:p>
        </w:tc>
        <w:tc>
          <w:tcPr>
            <w:tcW w:w="1077" w:type="dxa"/>
          </w:tcPr>
          <w:p w:rsidR="007D35D3" w:rsidRDefault="007D35D3">
            <w:pPr>
              <w:pStyle w:val="ConsPlusNormal"/>
              <w:jc w:val="center"/>
            </w:pPr>
            <w:r>
              <w:t>0,5</w:t>
            </w:r>
          </w:p>
        </w:tc>
        <w:tc>
          <w:tcPr>
            <w:tcW w:w="1134" w:type="dxa"/>
          </w:tcPr>
          <w:p w:rsidR="007D35D3" w:rsidRDefault="007D35D3">
            <w:pPr>
              <w:pStyle w:val="ConsPlusNormal"/>
              <w:jc w:val="center"/>
            </w:pPr>
            <w:r>
              <w:t>0,5</w:t>
            </w:r>
          </w:p>
        </w:tc>
        <w:tc>
          <w:tcPr>
            <w:tcW w:w="1134" w:type="dxa"/>
          </w:tcPr>
          <w:p w:rsidR="007D35D3" w:rsidRDefault="007D35D3">
            <w:pPr>
              <w:pStyle w:val="ConsPlusNormal"/>
              <w:jc w:val="center"/>
            </w:pPr>
            <w:r>
              <w:t>0,5</w:t>
            </w:r>
          </w:p>
        </w:tc>
        <w:tc>
          <w:tcPr>
            <w:tcW w:w="1247" w:type="dxa"/>
          </w:tcPr>
          <w:p w:rsidR="007D35D3" w:rsidRDefault="007D35D3">
            <w:pPr>
              <w:pStyle w:val="ConsPlusNormal"/>
              <w:jc w:val="center"/>
            </w:pPr>
            <w:r>
              <w:t>0,5</w:t>
            </w:r>
          </w:p>
        </w:tc>
      </w:tr>
      <w:tr w:rsidR="007D35D3">
        <w:tc>
          <w:tcPr>
            <w:tcW w:w="9637" w:type="dxa"/>
            <w:gridSpan w:val="7"/>
          </w:tcPr>
          <w:p w:rsidR="007D35D3" w:rsidRDefault="007D35D3">
            <w:pPr>
              <w:pStyle w:val="ConsPlusNormal"/>
              <w:jc w:val="both"/>
            </w:pPr>
            <w:r>
              <w:t>--------------------------------</w:t>
            </w:r>
          </w:p>
          <w:p w:rsidR="007D35D3" w:rsidRDefault="007D35D3">
            <w:pPr>
              <w:pStyle w:val="ConsPlusNormal"/>
              <w:jc w:val="both"/>
            </w:pPr>
            <w:bookmarkStart w:id="4" w:name="P305"/>
            <w:bookmarkEnd w:id="4"/>
            <w:r>
              <w:t xml:space="preserve">&lt;*&gt; зона 1: площадь Ушакова, улица Ленина, площадь Суворова, площадь Нахимова, проспект Нахимова, площадь Лазарева, улица Большая Морская; улица Маяковского, улица Айвазовского, набережная Корнилова, набережная Клокачева, набережная Адмирала </w:t>
            </w:r>
            <w:proofErr w:type="spellStart"/>
            <w:r>
              <w:t>Перелешина</w:t>
            </w:r>
            <w:proofErr w:type="spellEnd"/>
            <w:r>
              <w:t xml:space="preserve">, улица Адмирала Октябрьского, улица </w:t>
            </w:r>
            <w:proofErr w:type="spellStart"/>
            <w:r>
              <w:t>Очаковцев</w:t>
            </w:r>
            <w:proofErr w:type="spellEnd"/>
            <w:r>
              <w:t xml:space="preserve">, улица Генерала Петрова, улица Одесская, площадь Суворова, улица Пушкина, улица Сенявина, площадь 50-летия СССР, площадь Восставших, площадь Пирогова, набережная Корнилова, Приморский бульвар, набережная Клокачева, улица Гоголя, улица 4-я Бастионная, Красный спуск; улицы в районе Национального заповедника "Херсонес Таврический": улица Древняя, улица Дмитрия Ульянова, улица Ерошенко; улицы в исторической зоне Балаклавы: набережная </w:t>
            </w:r>
            <w:proofErr w:type="spellStart"/>
            <w:r>
              <w:t>Назукина</w:t>
            </w:r>
            <w:proofErr w:type="spellEnd"/>
            <w:r>
              <w:t xml:space="preserve">, улица </w:t>
            </w:r>
            <w:proofErr w:type="spellStart"/>
            <w:r>
              <w:t>Калича</w:t>
            </w:r>
            <w:proofErr w:type="spellEnd"/>
            <w:r>
              <w:t>, улица Новикова, площадь 1 Мая, улица Мраморная.</w:t>
            </w:r>
          </w:p>
          <w:p w:rsidR="007D35D3" w:rsidRDefault="007D35D3">
            <w:pPr>
              <w:pStyle w:val="ConsPlusNormal"/>
              <w:jc w:val="both"/>
            </w:pPr>
            <w:bookmarkStart w:id="5" w:name="P306"/>
            <w:bookmarkEnd w:id="5"/>
            <w:r>
              <w:t xml:space="preserve">&lt;**&gt; зона 2: проспект Генерала Острякова, улица </w:t>
            </w:r>
            <w:proofErr w:type="spellStart"/>
            <w:r>
              <w:t>Пожарова</w:t>
            </w:r>
            <w:proofErr w:type="spellEnd"/>
            <w:r>
              <w:t xml:space="preserve">, проспект Героев Сталинграда, проспект Октябрьской Революции, проспект Победы, проспект Генерала Мельника, улица </w:t>
            </w:r>
            <w:proofErr w:type="spellStart"/>
            <w:r>
              <w:t>Горпищенко</w:t>
            </w:r>
            <w:proofErr w:type="spellEnd"/>
            <w:r>
              <w:t xml:space="preserve">, улица Генерала </w:t>
            </w:r>
            <w:proofErr w:type="spellStart"/>
            <w:r>
              <w:t>Жидилова</w:t>
            </w:r>
            <w:proofErr w:type="spellEnd"/>
            <w:r>
              <w:t xml:space="preserve">, площадь Ревякина, Лабораторное шоссе, проспект Гагарина, улица Руднева, улица </w:t>
            </w:r>
            <w:proofErr w:type="spellStart"/>
            <w:r>
              <w:t>Вакуленчука</w:t>
            </w:r>
            <w:proofErr w:type="spellEnd"/>
            <w:r>
              <w:t xml:space="preserve">, территория пляжа Омега, улица Героев Бреста, улица Портовая, улица Вокзальная, улица Колобова, улица Шевченко, улица Розы Люксембург, площадь Комбата Неустроева, Стрелецкий спуск, улица Силаева, улица Олега Кошевого, Троллейбусный спуск, улица Хрусталева, улица 5-я Бастионная, улица Меньшикова, улица Николая Музыки, улица Котовского, улица Маршала Бирюзова, улица Бориса Михайлова, улица Борисова, улица Правды, улица </w:t>
            </w:r>
            <w:r>
              <w:lastRenderedPageBreak/>
              <w:t xml:space="preserve">Брестская, улица Адмирала Фадеева, улица Челюскинцев, улица </w:t>
            </w:r>
            <w:proofErr w:type="spellStart"/>
            <w:r>
              <w:t>Леваневского</w:t>
            </w:r>
            <w:proofErr w:type="spellEnd"/>
            <w:r>
              <w:t xml:space="preserve">, улица </w:t>
            </w:r>
            <w:proofErr w:type="spellStart"/>
            <w:r>
              <w:t>Симонка</w:t>
            </w:r>
            <w:proofErr w:type="spellEnd"/>
            <w:r>
              <w:t xml:space="preserve">, улица Циолковского, улица Богданова, площадь Захарова, площадь </w:t>
            </w:r>
            <w:proofErr w:type="spellStart"/>
            <w:r>
              <w:t>Кролевецкого</w:t>
            </w:r>
            <w:proofErr w:type="spellEnd"/>
            <w:r>
              <w:t xml:space="preserve">, улица Крестовского, улица Раенко, улица </w:t>
            </w:r>
            <w:proofErr w:type="spellStart"/>
            <w:r>
              <w:t>Шевкопляса</w:t>
            </w:r>
            <w:proofErr w:type="spellEnd"/>
            <w:r>
              <w:t>, улица Менжинского; улица Героев Севастополя, площадь Ластовая.</w:t>
            </w:r>
          </w:p>
          <w:p w:rsidR="007D35D3" w:rsidRDefault="007D35D3">
            <w:pPr>
              <w:pStyle w:val="ConsPlusNormal"/>
              <w:jc w:val="both"/>
            </w:pPr>
            <w:bookmarkStart w:id="6" w:name="P307"/>
            <w:bookmarkEnd w:id="6"/>
            <w:r>
              <w:t>&lt;***&gt; зона 3: улица Коммунистическая, улица Толстого, улица Гидрографическая, улица Кожанова, улица Индустриальная, улица Промышленная, улица Токарева, улица Шабалина.</w:t>
            </w:r>
          </w:p>
          <w:p w:rsidR="007D35D3" w:rsidRDefault="007D35D3">
            <w:pPr>
              <w:pStyle w:val="ConsPlusNormal"/>
              <w:jc w:val="both"/>
            </w:pPr>
            <w:bookmarkStart w:id="7" w:name="P308"/>
            <w:bookmarkEnd w:id="7"/>
            <w:r>
              <w:t xml:space="preserve">&lt;****&gt; зона 4: территория вдоль магистральных автодорог: Симферопольское шоссе, Крепостное шоссе, Камышовое шоссе, </w:t>
            </w:r>
            <w:proofErr w:type="spellStart"/>
            <w:r>
              <w:t>Фиолентовское</w:t>
            </w:r>
            <w:proofErr w:type="spellEnd"/>
            <w:r>
              <w:t xml:space="preserve"> шоссе, автодорога Севастополь - </w:t>
            </w:r>
            <w:proofErr w:type="spellStart"/>
            <w:r>
              <w:t>Инкерман</w:t>
            </w:r>
            <w:proofErr w:type="spellEnd"/>
            <w:r>
              <w:t xml:space="preserve">, автодорога Севастополь - Балаклава, Ялтинское шоссе, автодорога Севастополь - Ялта, автодорога Севастополь - </w:t>
            </w:r>
            <w:proofErr w:type="spellStart"/>
            <w:r>
              <w:t>Кача</w:t>
            </w:r>
            <w:proofErr w:type="spellEnd"/>
            <w:r>
              <w:t xml:space="preserve"> - Евпатория, автодорога Севастополь - </w:t>
            </w:r>
            <w:proofErr w:type="spellStart"/>
            <w:r>
              <w:t>Любимовка</w:t>
            </w:r>
            <w:proofErr w:type="spellEnd"/>
            <w:r>
              <w:t xml:space="preserve"> - Фруктовое.</w:t>
            </w:r>
          </w:p>
          <w:p w:rsidR="007D35D3" w:rsidRDefault="007D35D3">
            <w:pPr>
              <w:pStyle w:val="ConsPlusNormal"/>
            </w:pPr>
            <w:bookmarkStart w:id="8" w:name="P309"/>
            <w:bookmarkEnd w:id="8"/>
            <w:r>
              <w:t>&lt;*****&gt; зона 5: территории города, которые не вошли в зоны 1 - 4</w:t>
            </w:r>
          </w:p>
        </w:tc>
      </w:tr>
    </w:tbl>
    <w:p w:rsidR="007D35D3" w:rsidRDefault="007D35D3">
      <w:pPr>
        <w:pStyle w:val="ConsPlusNormal"/>
        <w:ind w:firstLine="540"/>
        <w:jc w:val="both"/>
      </w:pPr>
    </w:p>
    <w:p w:rsidR="007D35D3" w:rsidRDefault="007D35D3">
      <w:pPr>
        <w:pStyle w:val="ConsPlusNormal"/>
        <w:ind w:firstLine="540"/>
        <w:jc w:val="both"/>
      </w:pPr>
      <w:r>
        <w:t>Для налогоплательщиков единого налога на вмененный доход, у которых более 70% от общей среднесписочной численности работающих составляют инвалиды, для вида деятельности "оказание бытовых услуг" значение корректирующего коэффициента базовой доходности К2, установленное настоящим Законом, понижается в 2 раза.</w:t>
      </w:r>
    </w:p>
    <w:p w:rsidR="007D35D3" w:rsidRDefault="007D35D3">
      <w:pPr>
        <w:pStyle w:val="ConsPlusNormal"/>
        <w:spacing w:before="220"/>
        <w:ind w:firstLine="540"/>
        <w:jc w:val="both"/>
      </w:pPr>
      <w:r>
        <w:t>Для налогоплательщиков единого налога на вмененный доход, использующих труд наемных работников, значение корректирующего коэффициента К2 уменьшается и составляет:</w:t>
      </w:r>
    </w:p>
    <w:p w:rsidR="007D35D3" w:rsidRDefault="007D35D3">
      <w:pPr>
        <w:pStyle w:val="ConsPlusNormal"/>
        <w:spacing w:before="220"/>
        <w:ind w:firstLine="540"/>
        <w:jc w:val="both"/>
      </w:pPr>
      <w:r>
        <w:t>1) 70% от установленного настоящим Законом при уровне среднемесячной заработной платы работников выше трех минимальных размеров оплаты труда;</w:t>
      </w:r>
    </w:p>
    <w:p w:rsidR="007D35D3" w:rsidRDefault="007D35D3">
      <w:pPr>
        <w:pStyle w:val="ConsPlusNormal"/>
        <w:spacing w:before="220"/>
        <w:ind w:firstLine="540"/>
        <w:jc w:val="both"/>
      </w:pPr>
      <w:r>
        <w:t>2) 85% от установленного настоящим Законом при уровне среднемесячной заработной платы работников выше двух минимальных размеров оплаты труда.</w:t>
      </w:r>
    </w:p>
    <w:p w:rsidR="007D35D3" w:rsidRDefault="007D35D3">
      <w:pPr>
        <w:pStyle w:val="ConsPlusNormal"/>
        <w:spacing w:before="220"/>
        <w:ind w:firstLine="540"/>
        <w:jc w:val="both"/>
      </w:pPr>
      <w:r>
        <w:t xml:space="preserve">Среднемесячная заработная плата работников рассчитывается в целом по налогоплательщику в соответствии со </w:t>
      </w:r>
      <w:hyperlink r:id="rId10" w:history="1">
        <w:r>
          <w:rPr>
            <w:color w:val="0000FF"/>
          </w:rPr>
          <w:t>ст. 139</w:t>
        </w:r>
      </w:hyperlink>
      <w:r>
        <w:t xml:space="preserve"> Трудового кодекса Российской Федерации в порядке, утвержденном Правительством Российской Федерации.</w:t>
      </w:r>
    </w:p>
    <w:p w:rsidR="007D35D3" w:rsidRDefault="007D35D3">
      <w:pPr>
        <w:pStyle w:val="ConsPlusNormal"/>
        <w:ind w:firstLine="540"/>
        <w:jc w:val="both"/>
      </w:pPr>
    </w:p>
    <w:p w:rsidR="007D35D3" w:rsidRDefault="007D35D3">
      <w:pPr>
        <w:pStyle w:val="ConsPlusTitle"/>
        <w:ind w:firstLine="540"/>
        <w:jc w:val="both"/>
        <w:outlineLvl w:val="0"/>
      </w:pPr>
      <w:r>
        <w:t>Статья 3. Заключительные положения</w:t>
      </w:r>
    </w:p>
    <w:p w:rsidR="007D35D3" w:rsidRDefault="007D35D3">
      <w:pPr>
        <w:pStyle w:val="ConsPlusNormal"/>
        <w:ind w:firstLine="540"/>
        <w:jc w:val="both"/>
      </w:pPr>
    </w:p>
    <w:p w:rsidR="007D35D3" w:rsidRDefault="007D35D3">
      <w:pPr>
        <w:pStyle w:val="ConsPlusNormal"/>
        <w:ind w:firstLine="540"/>
        <w:jc w:val="both"/>
      </w:pPr>
      <w:r>
        <w:t>Настоящий Закон города Севастополя вступает в силу с 1 января 2015 года.</w:t>
      </w:r>
    </w:p>
    <w:p w:rsidR="007D35D3" w:rsidRDefault="007D35D3">
      <w:pPr>
        <w:pStyle w:val="ConsPlusNormal"/>
        <w:ind w:firstLine="540"/>
        <w:jc w:val="both"/>
      </w:pPr>
    </w:p>
    <w:p w:rsidR="007D35D3" w:rsidRDefault="007D35D3">
      <w:pPr>
        <w:pStyle w:val="ConsPlusNormal"/>
        <w:jc w:val="right"/>
      </w:pPr>
      <w:r>
        <w:t>Губернатор города Севастополя</w:t>
      </w:r>
    </w:p>
    <w:p w:rsidR="007D35D3" w:rsidRDefault="007D35D3">
      <w:pPr>
        <w:pStyle w:val="ConsPlusNormal"/>
        <w:jc w:val="right"/>
      </w:pPr>
      <w:r>
        <w:t>С.И.МЕНЯЙЛО</w:t>
      </w:r>
    </w:p>
    <w:p w:rsidR="007D35D3" w:rsidRDefault="007D35D3">
      <w:pPr>
        <w:pStyle w:val="ConsPlusNormal"/>
      </w:pPr>
      <w:r>
        <w:lastRenderedPageBreak/>
        <w:t>Севастополь</w:t>
      </w:r>
    </w:p>
    <w:p w:rsidR="007D35D3" w:rsidRDefault="007D35D3">
      <w:pPr>
        <w:pStyle w:val="ConsPlusNormal"/>
        <w:spacing w:before="220"/>
      </w:pPr>
      <w:r>
        <w:t>26 ноября 2014 года</w:t>
      </w:r>
    </w:p>
    <w:p w:rsidR="007D35D3" w:rsidRDefault="007D35D3">
      <w:pPr>
        <w:pStyle w:val="ConsPlusNormal"/>
        <w:spacing w:before="220"/>
      </w:pPr>
      <w:r>
        <w:t>N 85-ЗС</w:t>
      </w:r>
    </w:p>
    <w:p w:rsidR="007D35D3" w:rsidRDefault="007D35D3">
      <w:pPr>
        <w:pStyle w:val="ConsPlusNormal"/>
        <w:jc w:val="right"/>
      </w:pPr>
    </w:p>
    <w:p w:rsidR="007D35D3" w:rsidRDefault="007D35D3">
      <w:pPr>
        <w:pStyle w:val="ConsPlusNormal"/>
        <w:jc w:val="both"/>
      </w:pPr>
    </w:p>
    <w:p w:rsidR="007D35D3" w:rsidRDefault="007D35D3">
      <w:pPr>
        <w:pStyle w:val="ConsPlusNormal"/>
        <w:pBdr>
          <w:top w:val="single" w:sz="6" w:space="0" w:color="auto"/>
        </w:pBdr>
        <w:spacing w:before="100" w:after="100"/>
        <w:jc w:val="both"/>
        <w:rPr>
          <w:sz w:val="2"/>
          <w:szCs w:val="2"/>
        </w:rPr>
      </w:pPr>
    </w:p>
    <w:p w:rsidR="00841245" w:rsidRDefault="00841245"/>
    <w:sectPr w:rsidR="00841245" w:rsidSect="000531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D3"/>
    <w:rsid w:val="00445F51"/>
    <w:rsid w:val="007D35D3"/>
    <w:rsid w:val="0084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9909-79A7-4527-AAED-81CA9F85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5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099C0574E4C40BCEE6E10D12EC135C6EA7C9392226C5448FDFBEF84A40A136893F8F7232ABE8DDBEE84EAB9188F8DF673F31719BB7B972E6C5IBdFI" TargetMode="External"/><Relationship Id="rId3" Type="http://schemas.openxmlformats.org/officeDocument/2006/relationships/webSettings" Target="webSettings.xml"/><Relationship Id="rId7" Type="http://schemas.openxmlformats.org/officeDocument/2006/relationships/hyperlink" Target="consultantplus://offline/ref=3936099C0574E4C40BCEE6E10D12EC135C6EA7C9392226C5448FDFBEF84A40A136893F8F7232ABE8DDBEE84DAB9188F8DF673F31719BB7B972E6C5IBd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36099C0574E4C40BCEE6E10D12EC135C6EA7C9392226C5448FDFBEF84A40A136893F8F7232ABE8DDBEE944AB9188F8DF673F31719BB7B972E6C5IBdFI" TargetMode="External"/><Relationship Id="rId11" Type="http://schemas.openxmlformats.org/officeDocument/2006/relationships/fontTable" Target="fontTable.xml"/><Relationship Id="rId5" Type="http://schemas.openxmlformats.org/officeDocument/2006/relationships/hyperlink" Target="consultantplus://offline/ref=3936099C0574E4C40BCEF8EC1B7EB71E5661FBC73D212D9B19D084E3AF434AF671C666CD363CADEAD8B5BD1DE490D4BE8F743D367199B5A5I7d0I" TargetMode="External"/><Relationship Id="rId10" Type="http://schemas.openxmlformats.org/officeDocument/2006/relationships/hyperlink" Target="consultantplus://offline/ref=3936099C0574E4C40BCEF8EC1B7EB71E5661F9C738292D9B19D084E3AF434AF671C666CD363FA3ECD5B5BD1DE490D4BE8F743D367199B5A5I7d0I" TargetMode="External"/><Relationship Id="rId4" Type="http://schemas.openxmlformats.org/officeDocument/2006/relationships/hyperlink" Target="consultantplus://offline/ref=3936099C0574E4C40BCEE6E10D12EC135C6EA7C9392226C5448FDFBEF84A40A136893F8F7232ABE8DDBEE94BAB9188F8DF673F31719BB7B972E6C5IBdFI" TargetMode="External"/><Relationship Id="rId9" Type="http://schemas.openxmlformats.org/officeDocument/2006/relationships/hyperlink" Target="consultantplus://offline/ref=3936099C0574E4C40BCEE6E10D12EC135C6EA7C9392226C5448FDFBEF84A40A136893F8F7232ABE8DDBEE84FAB9188F8DF673F31719BB7B972E6C5IB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2321</Words>
  <Characters>13236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Статья 1. Общие положения</vt:lpstr>
      <vt:lpstr>Статья 2. Значения корректирующих коэффициентов базовой доходности</vt:lpstr>
      <vt:lpstr>Статья 3. Заключительные положения</vt:lpstr>
    </vt:vector>
  </TitlesOfParts>
  <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3</cp:revision>
  <dcterms:created xsi:type="dcterms:W3CDTF">2020-02-25T08:29:00Z</dcterms:created>
  <dcterms:modified xsi:type="dcterms:W3CDTF">2020-02-25T08:31:00Z</dcterms:modified>
</cp:coreProperties>
</file>